
<file path=[Content_Types].xml><?xml version="1.0" encoding="utf-8"?>
<Types xmlns="http://schemas.openxmlformats.org/package/2006/content-types">
  <Default Extension="xlsx" ContentType="application/vnd.openxmlformats-officedocument.spreadsheetml.sheet"/>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900" w:lineRule="exact"/>
        <w:jc w:val="center"/>
        <w:textAlignment w:val="auto"/>
        <w:rPr>
          <w:rFonts w:hint="eastAsia" w:ascii="黑体" w:hAnsi="黑体" w:eastAsia="黑体" w:cs="黑体"/>
          <w:b/>
          <w:bCs/>
          <w:sz w:val="84"/>
          <w:szCs w:val="84"/>
          <w:lang w:val="en-US" w:eastAsia="zh-CN"/>
        </w:rPr>
      </w:pPr>
      <w:bookmarkStart w:id="0" w:name="_Hlk80004236"/>
      <w:r>
        <w:rPr>
          <w:rFonts w:hint="eastAsia" w:ascii="黑体" w:hAnsi="黑体" w:eastAsia="黑体" w:cs="黑体"/>
          <w:b/>
          <w:bCs/>
          <w:sz w:val="84"/>
          <w:szCs w:val="84"/>
          <w:lang w:val="en-US" w:eastAsia="zh-CN"/>
        </w:rPr>
        <w:t>中国电视艺术家协会部门预算</w:t>
      </w: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900" w:lineRule="exact"/>
        <w:jc w:val="center"/>
        <w:textAlignment w:val="auto"/>
        <w:rPr>
          <w:rFonts w:hint="eastAsia" w:ascii="黑体" w:hAnsi="黑体" w:eastAsia="黑体" w:cs="黑体"/>
          <w:b/>
          <w:bCs/>
          <w:sz w:val="84"/>
          <w:szCs w:val="84"/>
          <w:lang w:val="en-US" w:eastAsia="zh-CN"/>
        </w:rPr>
      </w:pPr>
      <w:r>
        <w:rPr>
          <w:rFonts w:hint="eastAsia" w:ascii="黑体" w:hAnsi="黑体" w:eastAsia="黑体" w:cs="黑体"/>
          <w:b/>
          <w:bCs/>
          <w:sz w:val="84"/>
          <w:szCs w:val="84"/>
          <w:lang w:val="en-US" w:eastAsia="zh-CN"/>
        </w:rPr>
        <w:t>（2024年）</w:t>
      </w: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both"/>
        <w:textAlignment w:val="auto"/>
        <w:rPr>
          <w:rFonts w:hint="eastAsia" w:ascii="方正小标宋简体" w:hAnsi="方正小标宋简体" w:eastAsia="方正小标宋简体" w:cs="方正小标宋简体"/>
          <w:sz w:val="72"/>
          <w:szCs w:val="72"/>
          <w:lang w:val="en-US" w:eastAsia="zh-CN"/>
        </w:rPr>
      </w:pPr>
    </w:p>
    <w:p>
      <w:pPr>
        <w:pStyle w:val="15"/>
        <w:keepNext w:val="0"/>
        <w:keepLines w:val="0"/>
        <w:pageBreakBefore w:val="0"/>
        <w:widowControl w:val="0"/>
        <w:kinsoku/>
        <w:wordWrap/>
        <w:overflowPunct/>
        <w:topLinePunct w:val="0"/>
        <w:autoSpaceDE/>
        <w:autoSpaceDN/>
        <w:bidi w:val="0"/>
        <w:adjustRightInd/>
        <w:snapToGrid/>
        <w:spacing w:beforeAutospacing="0" w:after="360" w:afterAutospacing="0" w:line="800" w:lineRule="exact"/>
        <w:jc w:val="center"/>
        <w:textAlignment w:val="auto"/>
        <w:rPr>
          <w:rFonts w:hint="eastAsia" w:ascii="方正小标宋简体" w:hAnsi="方正小标宋简体" w:eastAsia="方正小标宋简体" w:cs="方正小标宋简体"/>
          <w:sz w:val="72"/>
          <w:szCs w:val="72"/>
          <w:lang w:val="en-US" w:eastAsia="zh-CN"/>
        </w:rPr>
      </w:pPr>
    </w:p>
    <w:p>
      <w:pPr>
        <w:pStyle w:val="10"/>
        <w:widowControl/>
        <w:spacing w:line="360" w:lineRule="auto"/>
        <w:ind w:firstLine="0" w:firstLineChars="0"/>
        <w:jc w:val="center"/>
        <w:rPr>
          <w:rFonts w:hint="default" w:ascii="方正小标宋简体" w:hAnsi="方正小标宋简体" w:eastAsia="方正小标宋简体" w:cs="方正小标宋简体"/>
          <w:sz w:val="72"/>
          <w:szCs w:val="72"/>
          <w:lang w:val="en-US" w:eastAsia="zh-CN"/>
        </w:rPr>
        <w:sectPr>
          <w:headerReference r:id="rId5" w:type="default"/>
          <w:footerReference r:id="rId6" w:type="default"/>
          <w:pgSz w:w="11900" w:h="16840"/>
          <w:pgMar w:top="2353" w:right="2043" w:bottom="1807" w:left="2422" w:header="1925" w:footer="1379" w:gutter="0"/>
          <w:pgNumType w:start="1"/>
          <w:cols w:space="720" w:num="1"/>
          <w:docGrid w:linePitch="360" w:charSpace="0"/>
        </w:sectPr>
      </w:pPr>
      <w:r>
        <w:rPr>
          <w:rFonts w:hint="eastAsia" w:ascii="黑体" w:hAnsi="黑体" w:eastAsia="黑体" w:cs="黑体"/>
          <w:b/>
          <w:color w:val="000000"/>
          <w:sz w:val="48"/>
          <w:szCs w:val="48"/>
        </w:rPr>
        <w:t>二〇二</w:t>
      </w:r>
      <w:r>
        <w:rPr>
          <w:rFonts w:hint="eastAsia" w:ascii="黑体" w:hAnsi="黑体" w:eastAsia="黑体" w:cs="黑体"/>
          <w:b/>
          <w:color w:val="000000"/>
          <w:sz w:val="48"/>
          <w:szCs w:val="48"/>
          <w:lang w:eastAsia="zh-CN"/>
        </w:rPr>
        <w:t>四</w:t>
      </w:r>
      <w:r>
        <w:rPr>
          <w:rFonts w:hint="eastAsia" w:ascii="黑体" w:hAnsi="黑体" w:eastAsia="黑体" w:cs="黑体"/>
          <w:b/>
          <w:color w:val="000000"/>
          <w:sz w:val="48"/>
          <w:szCs w:val="48"/>
        </w:rPr>
        <w:t>年</w:t>
      </w:r>
      <w:r>
        <w:rPr>
          <w:rFonts w:hint="eastAsia" w:ascii="黑体" w:hAnsi="黑体" w:eastAsia="黑体" w:cs="黑体"/>
          <w:b/>
          <w:color w:val="000000"/>
          <w:sz w:val="48"/>
          <w:szCs w:val="48"/>
          <w:lang w:eastAsia="zh-CN"/>
        </w:rPr>
        <w:t>四</w:t>
      </w:r>
      <w:r>
        <w:rPr>
          <w:rFonts w:hint="eastAsia" w:ascii="黑体" w:hAnsi="黑体" w:eastAsia="黑体" w:cs="黑体"/>
          <w:b/>
          <w:color w:val="000000"/>
          <w:sz w:val="48"/>
          <w:szCs w:val="48"/>
        </w:rPr>
        <w:t>月</w:t>
      </w:r>
    </w:p>
    <w:p>
      <w:pPr>
        <w:pStyle w:val="19"/>
        <w:spacing w:after="260" w:line="440" w:lineRule="exact"/>
        <w:ind w:left="0" w:leftChars="0" w:firstLine="3080" w:firstLineChars="700"/>
        <w:jc w:val="both"/>
        <w:rPr>
          <w:rFonts w:ascii="黑体" w:hAnsi="黑体" w:eastAsia="黑体" w:cs="黑体"/>
          <w:sz w:val="44"/>
          <w:szCs w:val="44"/>
          <w:lang w:eastAsia="zh-CN"/>
        </w:rPr>
      </w:pPr>
      <w:r>
        <w:rPr>
          <w:rFonts w:hint="eastAsia" w:ascii="黑体" w:hAnsi="黑体" w:eastAsia="黑体" w:cs="黑体"/>
          <w:sz w:val="44"/>
          <w:szCs w:val="44"/>
          <w:lang w:eastAsia="zh-CN"/>
        </w:rPr>
        <w:t>目</w:t>
      </w:r>
      <w:r>
        <w:rPr>
          <w:rFonts w:hint="eastAsia" w:ascii="黑体" w:hAnsi="黑体" w:eastAsia="黑体" w:cs="黑体"/>
          <w:sz w:val="44"/>
          <w:szCs w:val="44"/>
          <w:lang w:val="en-US" w:eastAsia="zh-CN"/>
        </w:rPr>
        <w:t xml:space="preserve">  </w:t>
      </w:r>
      <w:r>
        <w:rPr>
          <w:rFonts w:hint="eastAsia" w:ascii="黑体" w:hAnsi="黑体" w:eastAsia="黑体" w:cs="黑体"/>
          <w:sz w:val="44"/>
          <w:szCs w:val="44"/>
          <w:lang w:eastAsia="zh-CN"/>
        </w:rPr>
        <w:t>录</w:t>
      </w:r>
    </w:p>
    <w:p>
      <w:pPr>
        <w:pStyle w:val="19"/>
        <w:spacing w:after="260" w:line="440" w:lineRule="exact"/>
        <w:ind w:firstLine="618"/>
        <w:rPr>
          <w:rFonts w:ascii="楷体_GB2312" w:hAnsi="黑体" w:eastAsia="PMingLiU" w:cs="黑体"/>
          <w:b/>
          <w:bCs/>
          <w:sz w:val="32"/>
          <w:szCs w:val="32"/>
        </w:rPr>
      </w:pPr>
    </w:p>
    <w:p>
      <w:pPr>
        <w:pStyle w:val="19"/>
        <w:spacing w:after="260" w:line="440" w:lineRule="exact"/>
        <w:ind w:firstLine="618"/>
        <w:rPr>
          <w:rFonts w:hint="eastAsia" w:ascii="楷体_GB2312" w:hAnsi="黑体" w:eastAsia="楷体_GB2312" w:cs="黑体"/>
          <w:b/>
          <w:bCs/>
          <w:sz w:val="32"/>
          <w:szCs w:val="32"/>
        </w:rPr>
      </w:pPr>
      <w:r>
        <w:rPr>
          <w:rFonts w:hint="eastAsia" w:ascii="楷体_GB2312" w:hAnsi="黑体" w:eastAsia="楷体_GB2312" w:cs="黑体"/>
          <w:b/>
          <w:bCs/>
          <w:sz w:val="32"/>
          <w:szCs w:val="32"/>
        </w:rPr>
        <w:t>第一部分：</w:t>
      </w:r>
      <w:r>
        <w:rPr>
          <w:rFonts w:hint="eastAsia" w:ascii="楷体_GB2312" w:hAnsi="黑体" w:eastAsia="楷体_GB2312" w:cs="黑体"/>
          <w:b/>
          <w:bCs/>
          <w:sz w:val="32"/>
          <w:szCs w:val="32"/>
          <w:lang w:eastAsia="zh-CN"/>
        </w:rPr>
        <w:t>中国电视艺术家协会基本情况</w:t>
      </w:r>
    </w:p>
    <w:p>
      <w:pPr>
        <w:pStyle w:val="19"/>
        <w:spacing w:after="260" w:line="440" w:lineRule="exact"/>
        <w:ind w:firstLine="618"/>
        <w:rPr>
          <w:rFonts w:hint="eastAsia" w:ascii="楷体_GB2312" w:hAnsi="黑体" w:eastAsia="楷体_GB2312" w:cs="黑体"/>
          <w:b/>
          <w:bCs/>
          <w:sz w:val="32"/>
          <w:szCs w:val="32"/>
          <w:lang w:eastAsia="zh-CN"/>
        </w:rPr>
      </w:pPr>
      <w:r>
        <w:rPr>
          <w:rFonts w:hint="eastAsia" w:ascii="楷体_GB2312" w:hAnsi="黑体" w:eastAsia="楷体_GB2312" w:cs="黑体"/>
          <w:b/>
          <w:bCs/>
          <w:sz w:val="32"/>
          <w:szCs w:val="32"/>
        </w:rPr>
        <w:t>第二部分：202</w:t>
      </w:r>
      <w:r>
        <w:rPr>
          <w:rFonts w:hint="eastAsia" w:ascii="楷体_GB2312" w:hAnsi="黑体" w:eastAsia="楷体_GB2312" w:cs="黑体"/>
          <w:b/>
          <w:bCs/>
          <w:sz w:val="32"/>
          <w:szCs w:val="32"/>
          <w:lang w:val="en-US" w:eastAsia="zh-CN"/>
        </w:rPr>
        <w:t>4</w:t>
      </w:r>
      <w:r>
        <w:rPr>
          <w:rFonts w:hint="eastAsia" w:ascii="楷体_GB2312" w:hAnsi="黑体" w:eastAsia="楷体_GB2312" w:cs="黑体"/>
          <w:b/>
          <w:bCs/>
          <w:sz w:val="32"/>
          <w:szCs w:val="32"/>
        </w:rPr>
        <w:t>年部门</w:t>
      </w:r>
      <w:r>
        <w:rPr>
          <w:rFonts w:hint="eastAsia" w:ascii="楷体_GB2312" w:hAnsi="黑体" w:eastAsia="楷体_GB2312" w:cs="黑体"/>
          <w:b/>
          <w:bCs/>
          <w:sz w:val="32"/>
          <w:szCs w:val="32"/>
          <w:lang w:eastAsia="zh-CN"/>
        </w:rPr>
        <w:t>预算表格</w:t>
      </w:r>
    </w:p>
    <w:p>
      <w:pPr>
        <w:pStyle w:val="19"/>
        <w:tabs>
          <w:tab w:val="left" w:pos="1261"/>
        </w:tabs>
        <w:spacing w:after="260" w:line="440" w:lineRule="exact"/>
        <w:ind w:firstLine="618"/>
        <w:rPr>
          <w:rFonts w:hint="eastAsia" w:ascii="仿宋_GB2312" w:hAnsi="黑体" w:eastAsia="仿宋_GB2312" w:cs="黑体"/>
          <w:sz w:val="32"/>
          <w:szCs w:val="32"/>
          <w:lang w:eastAsia="zh-CN"/>
        </w:rPr>
      </w:pPr>
      <w:bookmarkStart w:id="1" w:name="bookmark2"/>
      <w:r>
        <w:rPr>
          <w:rFonts w:hint="eastAsia" w:ascii="仿宋_GB2312" w:hAnsi="黑体" w:eastAsia="仿宋_GB2312" w:cs="黑体"/>
          <w:sz w:val="32"/>
          <w:szCs w:val="32"/>
        </w:rPr>
        <w:t>一</w:t>
      </w:r>
      <w:bookmarkEnd w:id="1"/>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部门收支总表</w:t>
      </w:r>
    </w:p>
    <w:p>
      <w:pPr>
        <w:pStyle w:val="19"/>
        <w:tabs>
          <w:tab w:val="left" w:pos="1261"/>
        </w:tabs>
        <w:spacing w:after="260" w:line="440" w:lineRule="exact"/>
        <w:ind w:firstLine="618"/>
        <w:rPr>
          <w:rFonts w:hint="eastAsia" w:ascii="仿宋_GB2312" w:hAnsi="黑体" w:eastAsia="仿宋_GB2312" w:cs="黑体"/>
          <w:sz w:val="32"/>
          <w:szCs w:val="32"/>
          <w:lang w:eastAsia="zh-CN"/>
        </w:rPr>
      </w:pPr>
      <w:bookmarkStart w:id="2" w:name="bookmark3"/>
      <w:r>
        <w:rPr>
          <w:rFonts w:hint="eastAsia" w:ascii="仿宋_GB2312" w:hAnsi="黑体" w:eastAsia="仿宋_GB2312" w:cs="黑体"/>
          <w:sz w:val="32"/>
          <w:szCs w:val="32"/>
        </w:rPr>
        <w:t>二</w:t>
      </w:r>
      <w:bookmarkEnd w:id="2"/>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部门收入总表</w:t>
      </w:r>
    </w:p>
    <w:p>
      <w:pPr>
        <w:pStyle w:val="19"/>
        <w:tabs>
          <w:tab w:val="left" w:pos="1261"/>
        </w:tabs>
        <w:spacing w:after="260" w:line="440" w:lineRule="exact"/>
        <w:ind w:firstLine="618"/>
        <w:rPr>
          <w:rFonts w:hint="eastAsia" w:ascii="仿宋_GB2312" w:hAnsi="黑体" w:eastAsia="仿宋_GB2312" w:cs="黑体"/>
          <w:sz w:val="32"/>
          <w:szCs w:val="32"/>
          <w:lang w:eastAsia="zh-CN"/>
        </w:rPr>
      </w:pPr>
      <w:bookmarkStart w:id="3" w:name="bookmark4"/>
      <w:r>
        <w:rPr>
          <w:rFonts w:hint="eastAsia" w:ascii="仿宋_GB2312" w:hAnsi="黑体" w:eastAsia="仿宋_GB2312" w:cs="黑体"/>
          <w:sz w:val="32"/>
          <w:szCs w:val="32"/>
        </w:rPr>
        <w:t>三</w:t>
      </w:r>
      <w:bookmarkEnd w:id="3"/>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部门支出总表</w:t>
      </w:r>
    </w:p>
    <w:p>
      <w:pPr>
        <w:pStyle w:val="19"/>
        <w:tabs>
          <w:tab w:val="left" w:pos="1261"/>
        </w:tabs>
        <w:spacing w:after="260" w:line="440" w:lineRule="exact"/>
        <w:ind w:firstLine="618"/>
        <w:rPr>
          <w:rFonts w:hint="eastAsia" w:ascii="仿宋_GB2312" w:hAnsi="黑体" w:eastAsia="仿宋_GB2312" w:cs="黑体"/>
          <w:sz w:val="32"/>
          <w:szCs w:val="32"/>
        </w:rPr>
      </w:pPr>
      <w:bookmarkStart w:id="4" w:name="bookmark5"/>
      <w:r>
        <w:rPr>
          <w:rFonts w:hint="eastAsia" w:ascii="仿宋_GB2312" w:hAnsi="黑体" w:eastAsia="仿宋_GB2312" w:cs="黑体"/>
          <w:sz w:val="32"/>
          <w:szCs w:val="32"/>
        </w:rPr>
        <w:t>四</w:t>
      </w:r>
      <w:bookmarkEnd w:id="4"/>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rPr>
        <w:t>财政拨款</w:t>
      </w:r>
      <w:r>
        <w:rPr>
          <w:rFonts w:hint="eastAsia" w:ascii="仿宋_GB2312" w:hAnsi="黑体" w:eastAsia="仿宋_GB2312" w:cs="黑体"/>
          <w:sz w:val="32"/>
          <w:szCs w:val="32"/>
          <w:lang w:eastAsia="zh-CN"/>
        </w:rPr>
        <w:t>收支总</w:t>
      </w:r>
      <w:r>
        <w:rPr>
          <w:rFonts w:hint="eastAsia" w:ascii="仿宋_GB2312" w:hAnsi="黑体" w:eastAsia="仿宋_GB2312" w:cs="黑体"/>
          <w:sz w:val="32"/>
          <w:szCs w:val="32"/>
        </w:rPr>
        <w:t>表</w:t>
      </w:r>
    </w:p>
    <w:p>
      <w:pPr>
        <w:pStyle w:val="19"/>
        <w:tabs>
          <w:tab w:val="left" w:pos="1261"/>
        </w:tabs>
        <w:spacing w:after="260" w:line="440" w:lineRule="exact"/>
        <w:ind w:firstLine="618"/>
        <w:rPr>
          <w:rFonts w:hint="default" w:ascii="仿宋_GB2312" w:hAnsi="黑体" w:eastAsia="仿宋_GB2312" w:cs="黑体"/>
          <w:sz w:val="32"/>
          <w:szCs w:val="32"/>
          <w:lang w:val="en-US"/>
        </w:rPr>
      </w:pPr>
      <w:bookmarkStart w:id="5" w:name="bookmark6"/>
      <w:r>
        <w:rPr>
          <w:rFonts w:hint="eastAsia" w:ascii="仿宋_GB2312" w:hAnsi="黑体" w:eastAsia="仿宋_GB2312" w:cs="黑体"/>
          <w:sz w:val="32"/>
          <w:szCs w:val="32"/>
        </w:rPr>
        <w:t>五</w:t>
      </w:r>
      <w:bookmarkEnd w:id="5"/>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rPr>
        <w:t>一般公共预算支出表</w:t>
      </w:r>
      <w:bookmarkStart w:id="19" w:name="_GoBack"/>
      <w:bookmarkEnd w:id="19"/>
    </w:p>
    <w:p>
      <w:pPr>
        <w:pStyle w:val="19"/>
        <w:tabs>
          <w:tab w:val="left" w:pos="1261"/>
        </w:tabs>
        <w:spacing w:after="260" w:line="440" w:lineRule="exact"/>
        <w:ind w:firstLine="618"/>
        <w:rPr>
          <w:rFonts w:hint="eastAsia" w:ascii="仿宋_GB2312" w:hAnsi="黑体" w:eastAsia="仿宋_GB2312" w:cs="黑体"/>
          <w:sz w:val="32"/>
          <w:szCs w:val="32"/>
        </w:rPr>
      </w:pPr>
      <w:bookmarkStart w:id="6" w:name="bookmark7"/>
      <w:r>
        <w:rPr>
          <w:rFonts w:hint="eastAsia" w:ascii="仿宋_GB2312" w:hAnsi="黑体" w:eastAsia="仿宋_GB2312" w:cs="黑体"/>
          <w:sz w:val="32"/>
          <w:szCs w:val="32"/>
        </w:rPr>
        <w:t>六</w:t>
      </w:r>
      <w:bookmarkEnd w:id="6"/>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rPr>
        <w:t>一般公共预算基本支出表</w:t>
      </w:r>
    </w:p>
    <w:p>
      <w:pPr>
        <w:pStyle w:val="19"/>
        <w:tabs>
          <w:tab w:val="left" w:pos="1261"/>
        </w:tabs>
        <w:spacing w:after="260" w:line="440" w:lineRule="exact"/>
        <w:ind w:firstLine="618"/>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七</w:t>
      </w:r>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政府性基金预算支出表</w:t>
      </w:r>
    </w:p>
    <w:p>
      <w:pPr>
        <w:pStyle w:val="19"/>
        <w:tabs>
          <w:tab w:val="left" w:pos="1261"/>
        </w:tabs>
        <w:spacing w:after="260" w:line="440" w:lineRule="exact"/>
        <w:ind w:firstLine="618"/>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八</w:t>
      </w:r>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国有资本经营预算支出表</w:t>
      </w:r>
    </w:p>
    <w:p>
      <w:pPr>
        <w:pStyle w:val="19"/>
        <w:tabs>
          <w:tab w:val="left" w:pos="1261"/>
        </w:tabs>
        <w:spacing w:after="260" w:line="440" w:lineRule="exact"/>
        <w:ind w:firstLine="618"/>
        <w:rPr>
          <w:rFonts w:hint="eastAsia" w:ascii="仿宋_GB2312" w:hAnsi="黑体" w:eastAsia="仿宋_GB2312" w:cs="黑体"/>
          <w:sz w:val="32"/>
          <w:szCs w:val="32"/>
          <w:lang w:eastAsia="zh-CN"/>
        </w:rPr>
      </w:pPr>
      <w:r>
        <w:rPr>
          <w:rFonts w:hint="eastAsia" w:ascii="仿宋_GB2312" w:hAnsi="黑体" w:eastAsia="仿宋_GB2312" w:cs="黑体"/>
          <w:sz w:val="32"/>
          <w:szCs w:val="32"/>
          <w:lang w:eastAsia="zh-CN"/>
        </w:rPr>
        <w:t>九</w:t>
      </w:r>
      <w:r>
        <w:rPr>
          <w:rFonts w:hint="eastAsia" w:ascii="仿宋_GB2312" w:hAnsi="黑体" w:eastAsia="仿宋_GB2312" w:cs="黑体"/>
          <w:sz w:val="32"/>
          <w:szCs w:val="32"/>
        </w:rPr>
        <w:t>、</w:t>
      </w:r>
      <w:r>
        <w:rPr>
          <w:rFonts w:hint="eastAsia" w:ascii="仿宋_GB2312" w:hAnsi="黑体" w:eastAsia="仿宋_GB2312" w:cs="黑体"/>
          <w:sz w:val="32"/>
          <w:szCs w:val="32"/>
        </w:rPr>
        <w:tab/>
      </w:r>
      <w:r>
        <w:rPr>
          <w:rFonts w:hint="eastAsia" w:ascii="仿宋_GB2312" w:hAnsi="黑体" w:eastAsia="仿宋_GB2312" w:cs="黑体"/>
          <w:sz w:val="32"/>
          <w:szCs w:val="32"/>
          <w:lang w:eastAsia="zh-CN"/>
        </w:rPr>
        <w:t>财政拨款预算“三公”经费支出表</w:t>
      </w:r>
    </w:p>
    <w:p>
      <w:pPr>
        <w:pStyle w:val="19"/>
        <w:spacing w:after="260" w:line="440" w:lineRule="exact"/>
        <w:ind w:firstLine="618"/>
        <w:rPr>
          <w:rFonts w:hint="eastAsia" w:ascii="楷体_GB2312" w:hAnsi="黑体" w:eastAsia="楷体_GB2312" w:cs="黑体"/>
          <w:b/>
          <w:bCs/>
          <w:sz w:val="32"/>
          <w:szCs w:val="32"/>
        </w:rPr>
      </w:pPr>
      <w:r>
        <w:rPr>
          <w:rFonts w:hint="eastAsia" w:ascii="楷体_GB2312" w:hAnsi="黑体" w:eastAsia="楷体_GB2312" w:cs="黑体"/>
          <w:b/>
          <w:bCs/>
          <w:sz w:val="32"/>
          <w:szCs w:val="32"/>
        </w:rPr>
        <w:t>第三部分：202</w:t>
      </w:r>
      <w:r>
        <w:rPr>
          <w:rFonts w:hint="eastAsia" w:ascii="楷体_GB2312" w:hAnsi="黑体" w:eastAsia="楷体_GB2312" w:cs="黑体"/>
          <w:b/>
          <w:bCs/>
          <w:sz w:val="32"/>
          <w:szCs w:val="32"/>
          <w:lang w:val="en-US" w:eastAsia="zh-CN"/>
        </w:rPr>
        <w:t>4</w:t>
      </w:r>
      <w:r>
        <w:rPr>
          <w:rFonts w:hint="eastAsia" w:ascii="楷体_GB2312" w:hAnsi="黑体" w:eastAsia="楷体_GB2312" w:cs="黑体"/>
          <w:b/>
          <w:bCs/>
          <w:sz w:val="32"/>
          <w:szCs w:val="32"/>
        </w:rPr>
        <w:t>年部门预算情况说明</w:t>
      </w:r>
    </w:p>
    <w:p>
      <w:pPr>
        <w:pStyle w:val="19"/>
        <w:spacing w:after="260" w:line="440" w:lineRule="exact"/>
        <w:ind w:firstLine="618"/>
        <w:rPr>
          <w:rFonts w:ascii="楷体_GB2312" w:hAnsi="黑体" w:eastAsia="楷体_GB2312" w:cs="黑体"/>
          <w:b/>
          <w:bCs/>
          <w:sz w:val="32"/>
          <w:szCs w:val="32"/>
        </w:rPr>
        <w:sectPr>
          <w:pgSz w:w="11900" w:h="16840"/>
          <w:pgMar w:top="2809" w:right="1755" w:bottom="2809" w:left="1779" w:header="2381" w:footer="2381" w:gutter="0"/>
          <w:cols w:space="720" w:num="1"/>
          <w:docGrid w:linePitch="360" w:charSpace="0"/>
        </w:sectPr>
      </w:pPr>
      <w:r>
        <w:rPr>
          <w:rFonts w:hint="eastAsia" w:ascii="楷体_GB2312" w:hAnsi="黑体" w:eastAsia="楷体_GB2312" w:cs="黑体"/>
          <w:b/>
          <w:bCs/>
          <w:sz w:val="32"/>
          <w:szCs w:val="32"/>
        </w:rPr>
        <w:t>第四部分：名词解释</w:t>
      </w:r>
    </w:p>
    <w:p>
      <w:pPr>
        <w:pStyle w:val="21"/>
        <w:keepNext/>
        <w:keepLines/>
        <w:spacing w:after="0" w:line="560" w:lineRule="atLeast"/>
        <w:rPr>
          <w:rFonts w:hint="eastAsia" w:ascii="黑体" w:hAnsi="黑体" w:eastAsia="黑体" w:cs="黑体"/>
          <w:sz w:val="44"/>
          <w:szCs w:val="44"/>
          <w:lang w:eastAsia="zh-CN"/>
        </w:rPr>
      </w:pPr>
      <w:bookmarkStart w:id="7" w:name="bookmark11"/>
      <w:bookmarkStart w:id="8" w:name="bookmark12"/>
      <w:bookmarkStart w:id="9" w:name="bookmark13"/>
      <w:r>
        <w:rPr>
          <w:rFonts w:hint="eastAsia" w:ascii="黑体" w:hAnsi="黑体" w:eastAsia="黑体" w:cs="黑体"/>
          <w:sz w:val="44"/>
          <w:szCs w:val="44"/>
        </w:rPr>
        <w:t>第一部分：</w:t>
      </w:r>
      <w:r>
        <w:rPr>
          <w:rFonts w:hint="eastAsia" w:ascii="黑体" w:hAnsi="黑体" w:eastAsia="黑体" w:cs="黑体"/>
          <w:sz w:val="44"/>
          <w:szCs w:val="44"/>
          <w:lang w:eastAsia="zh-CN"/>
        </w:rPr>
        <w:t>中国电视艺术家协会</w:t>
      </w:r>
      <w:bookmarkEnd w:id="7"/>
      <w:bookmarkEnd w:id="8"/>
      <w:bookmarkEnd w:id="9"/>
      <w:r>
        <w:rPr>
          <w:rFonts w:hint="eastAsia" w:ascii="黑体" w:hAnsi="黑体" w:eastAsia="黑体" w:cs="黑体"/>
          <w:sz w:val="44"/>
          <w:szCs w:val="44"/>
          <w:lang w:eastAsia="zh-CN"/>
        </w:rPr>
        <w:t>基本情况</w:t>
      </w:r>
    </w:p>
    <w:p>
      <w:pPr>
        <w:spacing w:line="560" w:lineRule="atLeast"/>
        <w:ind w:firstLine="640" w:firstLineChars="200"/>
        <w:jc w:val="both"/>
        <w:rPr>
          <w:rFonts w:ascii="仿宋_GB2312" w:hAnsi="宋体" w:eastAsia="仿宋_GB2312" w:cs="宋体"/>
          <w:sz w:val="32"/>
          <w:szCs w:val="32"/>
          <w:lang w:eastAsia="zh-CN"/>
        </w:rPr>
      </w:pPr>
    </w:p>
    <w:p>
      <w:pPr>
        <w:spacing w:line="560" w:lineRule="atLeast"/>
        <w:ind w:firstLine="642" w:firstLineChars="200"/>
        <w:jc w:val="both"/>
        <w:rPr>
          <w:rFonts w:hint="eastAsia" w:ascii="楷体_GB2312" w:hAnsi="楷体_GB2312" w:eastAsia="楷体_GB2312" w:cs="楷体_GB2312"/>
          <w:b/>
          <w:bCs/>
          <w:sz w:val="32"/>
          <w:szCs w:val="32"/>
          <w:lang w:eastAsia="zh-CN"/>
        </w:rPr>
      </w:pPr>
      <w:r>
        <w:rPr>
          <w:rFonts w:hint="eastAsia" w:ascii="楷体_GB2312" w:hAnsi="楷体_GB2312" w:eastAsia="楷体_GB2312" w:cs="楷体_GB2312"/>
          <w:b/>
          <w:bCs/>
          <w:sz w:val="32"/>
          <w:szCs w:val="32"/>
          <w:lang w:eastAsia="zh-CN"/>
        </w:rPr>
        <w:t>一、单位简介及主要任务</w:t>
      </w:r>
    </w:p>
    <w:p>
      <w:pPr>
        <w:spacing w:line="560" w:lineRule="atLeast"/>
        <w:ind w:firstLine="640" w:firstLineChars="200"/>
        <w:jc w:val="both"/>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简称中国视协）成立于1985年，是中国共产党领导的、全国各民族电视艺术家组成的专业性人民团体，是党和政府联系电视界的桥梁和纽带，是繁荣发展社会主义文艺事业、建设社会主义文化强国的重要力量。中国电视艺术家协会是中国文学艺术界联合会的团体会员。</w:t>
      </w:r>
    </w:p>
    <w:p>
      <w:pPr>
        <w:spacing w:line="560" w:lineRule="atLeast"/>
        <w:ind w:firstLine="640" w:firstLineChars="200"/>
        <w:jc w:val="both"/>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贯彻执行党的文艺方针政策，坚持以人民为中心的工作导向和创作导向，围绕中心，服务大局，面向基层，服务群众，与时俱进，改革创新，积极履行团结引导、联络协调、服务管理、自律维权的基本职能，组织开展学习培训、深入生活、采风创作、评奖办节、成果展示、理论研讨、出版宣传、文艺志愿服务、对外交流和权益保护等各项工作，致力于我国电视艺术事业的繁荣发展，努力成为广大电视艺术工作者的温馨之家。</w:t>
      </w:r>
    </w:p>
    <w:p>
      <w:pPr>
        <w:spacing w:line="560" w:lineRule="atLeast"/>
        <w:ind w:firstLine="640" w:firstLineChars="200"/>
        <w:jc w:val="both"/>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实行团体会员和个人会员制。目前有团体会员36个，包括31个省、自治区、直辖市视协，新疆生产建设兵团视协，中央电视台分会，新华社分会，铁路文工团支会和煤矿文工团支会等。个人会员</w:t>
      </w:r>
      <w:r>
        <w:rPr>
          <w:rFonts w:hint="eastAsia" w:ascii="仿宋_GB2312" w:hAnsi="宋体" w:eastAsia="仿宋_GB2312" w:cs="宋体"/>
          <w:sz w:val="32"/>
          <w:szCs w:val="32"/>
          <w:lang w:val="en-US" w:eastAsia="zh-CN"/>
        </w:rPr>
        <w:t>8000</w:t>
      </w:r>
      <w:r>
        <w:rPr>
          <w:rFonts w:hint="eastAsia" w:ascii="仿宋_GB2312" w:hAnsi="宋体" w:eastAsia="仿宋_GB2312" w:cs="宋体"/>
          <w:sz w:val="32"/>
          <w:szCs w:val="32"/>
          <w:lang w:eastAsia="zh-CN"/>
        </w:rPr>
        <w:t>多人。中国电视艺术家协会的最高权力机构是中国电视艺术家协会全国代表大会。全国代表大会选举产生理事会。理事会选举产生主席一人、副主席若干人组成主席团。主席团任命秘书长一人、副秘书长若干人。中国电视艺术家协会全国代表大会每五年召开一次，全国代表大会闭会期间，由理事会执行代表大会决议。理事会闭会期间，由主席团执行代表大会和理事会的决议，驻会副主席主持协会日常工作。中国电视艺术家协会会址设在北京。</w:t>
      </w:r>
    </w:p>
    <w:p>
      <w:pPr>
        <w:rPr>
          <w:rFonts w:ascii="宋体" w:hAnsi="宋体" w:eastAsia="宋体" w:cs="宋体"/>
          <w:sz w:val="32"/>
          <w:szCs w:val="32"/>
          <w:lang w:eastAsia="zh-CN"/>
        </w:rPr>
      </w:pPr>
      <w:r>
        <w:rPr>
          <w:rFonts w:ascii="宋体" w:hAnsi="宋体" w:eastAsia="宋体" w:cs="宋体"/>
          <w:sz w:val="32"/>
          <w:szCs w:val="32"/>
          <w:lang w:eastAsia="zh-CN"/>
        </w:rPr>
        <w:br w:type="page"/>
      </w:r>
    </w:p>
    <w:p>
      <w:pPr>
        <w:spacing w:line="560" w:lineRule="atLeast"/>
        <w:ind w:firstLine="642" w:firstLineChars="200"/>
        <w:jc w:val="both"/>
        <w:rPr>
          <w:rFonts w:hint="default"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lang w:val="en-US" w:eastAsia="zh-CN"/>
        </w:rPr>
        <w:t>2024年工作部署</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2024年是中华人民共和国成立75周年，是实施“十四五”规划目标任务的关键一年，也是习近平总书记主持召开文艺工作座谈会十周年。在中宣部和中国文联的坚强领导下，中国视协将坚持以习近平新时代中国特色社会主义思想为指导，深入贯彻落实党的二十大精神，坚持不懈用习近平文化思想凝心聚力，按照全国宣传部长会议部署，充分发挥协会组织优势和专业优势，坚持以人民为中心的创作导向，切实将“做人的工作”与“推动电视艺术创作”相贯通，团结引领广大电视和网络视听艺术工作者勇担新的文艺使命，为推动视协工作迈上新台阶、推动电视和网络视听艺术高质量发展实现新作为。</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（一）加强思想引领和理论武装，推动习近平文化思想学深悟透、入脑入心</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（二）围绕中心、服务大局，精心组织开展重大奖节和品牌特色活动，展现新时代精神风貌</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（三）推动重大主题创作，切实发挥电视文艺理论评论引领精品创作的重要作用</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（四）推动对外对港澳台电视艺术交流创作，讲好当代中国故事</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pacing w:val="-17"/>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（五）</w:t>
      </w:r>
      <w:r>
        <w:rPr>
          <w:rFonts w:hint="eastAsia" w:ascii="楷体_GB2312" w:hAnsi="楷体_GB2312" w:eastAsia="楷体_GB2312" w:cs="楷体_GB2312"/>
          <w:b w:val="0"/>
          <w:bCs/>
          <w:color w:val="auto"/>
          <w:spacing w:val="-17"/>
          <w:sz w:val="32"/>
          <w:szCs w:val="32"/>
          <w:highlight w:val="none"/>
          <w:shd w:val="clear" w:color="auto" w:fill="auto"/>
          <w:lang w:val="en-US" w:eastAsia="zh-CN"/>
        </w:rPr>
        <w:t>紧扣“做人的工作”核心任务，强化会员服务管理及行风建设</w:t>
      </w:r>
    </w:p>
    <w:p>
      <w:pPr>
        <w:keepNext w:val="0"/>
        <w:keepLines w:val="0"/>
        <w:pageBreakBefore w:val="0"/>
        <w:widowControl w:val="0"/>
        <w:numPr>
          <w:ilvl w:val="0"/>
          <w:numId w:val="0"/>
        </w:numPr>
        <w:kinsoku/>
        <w:wordWrap/>
        <w:overflowPunct/>
        <w:topLinePunct w:val="0"/>
        <w:autoSpaceDE/>
        <w:autoSpaceDN/>
        <w:bidi w:val="0"/>
        <w:adjustRightInd/>
        <w:snapToGrid/>
        <w:spacing w:line="620" w:lineRule="exact"/>
        <w:ind w:firstLine="640" w:firstLineChars="200"/>
        <w:jc w:val="both"/>
        <w:textAlignment w:val="auto"/>
        <w:rPr>
          <w:rFonts w:hint="eastAsia" w:ascii="楷体_GB2312" w:hAnsi="楷体_GB2312" w:eastAsia="楷体_GB2312" w:cs="楷体_GB2312"/>
          <w:b w:val="0"/>
          <w:bCs/>
          <w:color w:val="auto"/>
          <w:sz w:val="32"/>
          <w:szCs w:val="32"/>
          <w:highlight w:val="none"/>
          <w:shd w:val="clear" w:color="auto" w:fill="auto"/>
          <w:lang w:val="en-US" w:eastAsia="zh-CN"/>
        </w:rPr>
      </w:pPr>
      <w:r>
        <w:rPr>
          <w:rFonts w:hint="eastAsia" w:ascii="楷体_GB2312" w:hAnsi="楷体_GB2312" w:eastAsia="楷体_GB2312" w:cs="楷体_GB2312"/>
          <w:b w:val="0"/>
          <w:bCs/>
          <w:color w:val="auto"/>
          <w:sz w:val="32"/>
          <w:szCs w:val="32"/>
          <w:highlight w:val="none"/>
          <w:shd w:val="clear" w:color="auto" w:fill="auto"/>
          <w:lang w:val="en-US" w:eastAsia="zh-CN"/>
        </w:rPr>
        <w:t>（六）全面加强党的政治建设，不断夯实协会工作根基</w:t>
      </w:r>
    </w:p>
    <w:p>
      <w:pPr>
        <w:pStyle w:val="5"/>
        <w:rPr>
          <w:rFonts w:hint="eastAsia"/>
          <w:lang w:val="en-US" w:eastAsia="zh-CN"/>
        </w:rPr>
      </w:pPr>
    </w:p>
    <w:p>
      <w:pPr>
        <w:pStyle w:val="21"/>
        <w:keepNext/>
        <w:keepLines/>
        <w:spacing w:after="0" w:line="560" w:lineRule="atLeast"/>
        <w:ind w:firstLine="642" w:firstLineChars="200"/>
        <w:jc w:val="left"/>
        <w:rPr>
          <w:rFonts w:ascii="黑体" w:hAnsi="黑体" w:eastAsia="PMingLiU" w:cs="黑体"/>
          <w:sz w:val="32"/>
          <w:szCs w:val="32"/>
        </w:rPr>
      </w:pPr>
      <w:bookmarkStart w:id="10" w:name="bookmark23"/>
      <w:bookmarkStart w:id="11" w:name="bookmark22"/>
      <w:bookmarkStart w:id="12" w:name="bookmark21"/>
      <w:r>
        <w:rPr>
          <w:rFonts w:hint="eastAsia" w:ascii="楷体_GB2312" w:hAnsi="楷体_GB2312" w:eastAsia="楷体_GB2312" w:cs="楷体_GB2312"/>
          <w:b/>
          <w:bCs/>
          <w:sz w:val="32"/>
          <w:szCs w:val="32"/>
          <w:lang w:eastAsia="zh-CN"/>
        </w:rPr>
        <w:t>三</w:t>
      </w:r>
      <w:r>
        <w:rPr>
          <w:rFonts w:hint="eastAsia" w:ascii="楷体_GB2312" w:hAnsi="楷体_GB2312" w:eastAsia="楷体_GB2312" w:cs="楷体_GB2312"/>
          <w:b/>
          <w:bCs/>
          <w:sz w:val="32"/>
          <w:szCs w:val="32"/>
        </w:rPr>
        <w:t>、部门预算单位构成（按财政部批复预算代码顺序）</w:t>
      </w:r>
      <w:bookmarkEnd w:id="10"/>
      <w:bookmarkEnd w:id="11"/>
      <w:bookmarkEnd w:id="12"/>
      <w:bookmarkStart w:id="13" w:name="bookmark25"/>
      <w:bookmarkStart w:id="14" w:name="bookmark24"/>
      <w:bookmarkStart w:id="15" w:name="bookmark26"/>
    </w:p>
    <w:p>
      <w:pPr>
        <w:pStyle w:val="21"/>
        <w:keepNext/>
        <w:keepLines/>
        <w:spacing w:after="0" w:line="560" w:lineRule="atLeas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中国视协是中国文联的二级预算单位，</w:t>
      </w:r>
      <w:r>
        <w:rPr>
          <w:rFonts w:hint="eastAsia" w:ascii="仿宋_GB2312" w:eastAsia="仿宋_GB2312"/>
          <w:sz w:val="32"/>
          <w:szCs w:val="32"/>
        </w:rPr>
        <w:t>纳入中国</w:t>
      </w:r>
      <w:r>
        <w:rPr>
          <w:rFonts w:hint="eastAsia" w:ascii="仿宋_GB2312" w:eastAsia="仿宋_GB2312"/>
          <w:sz w:val="32"/>
          <w:szCs w:val="32"/>
          <w:lang w:eastAsia="zh-CN"/>
        </w:rPr>
        <w:t>视协</w:t>
      </w:r>
      <w:r>
        <w:rPr>
          <w:rFonts w:hint="eastAsia" w:ascii="仿宋_GB2312" w:eastAsia="仿宋_GB2312"/>
          <w:sz w:val="32"/>
          <w:szCs w:val="32"/>
        </w:rPr>
        <w:t>202</w:t>
      </w:r>
      <w:r>
        <w:rPr>
          <w:rFonts w:hint="eastAsia" w:ascii="仿宋_GB2312"/>
          <w:sz w:val="32"/>
          <w:szCs w:val="32"/>
          <w:lang w:val="en-US" w:eastAsia="zh-CN"/>
        </w:rPr>
        <w:t>4</w:t>
      </w:r>
      <w:r>
        <w:rPr>
          <w:rFonts w:hint="eastAsia" w:ascii="仿宋_GB2312" w:eastAsia="仿宋_GB2312"/>
          <w:sz w:val="32"/>
          <w:szCs w:val="32"/>
        </w:rPr>
        <w:t>年度部门</w:t>
      </w:r>
      <w:r>
        <w:rPr>
          <w:rFonts w:hint="eastAsia" w:ascii="仿宋_GB2312" w:eastAsia="仿宋_GB2312"/>
          <w:sz w:val="32"/>
          <w:szCs w:val="32"/>
          <w:lang w:eastAsia="zh-CN"/>
        </w:rPr>
        <w:t>预</w:t>
      </w:r>
      <w:r>
        <w:rPr>
          <w:rFonts w:hint="eastAsia" w:ascii="仿宋_GB2312" w:eastAsia="仿宋_GB2312"/>
          <w:sz w:val="32"/>
          <w:szCs w:val="32"/>
        </w:rPr>
        <w:t>算编制范围</w:t>
      </w:r>
      <w:r>
        <w:rPr>
          <w:rFonts w:hint="eastAsia" w:ascii="仿宋_GB2312" w:eastAsia="仿宋_GB2312"/>
          <w:sz w:val="32"/>
          <w:szCs w:val="32"/>
          <w:lang w:eastAsia="zh-CN"/>
        </w:rPr>
        <w:t>的三级预算</w:t>
      </w:r>
      <w:r>
        <w:rPr>
          <w:rFonts w:hint="eastAsia" w:ascii="仿宋_GB2312" w:eastAsia="仿宋_GB2312"/>
          <w:sz w:val="32"/>
          <w:szCs w:val="32"/>
        </w:rPr>
        <w:t>单位包括</w:t>
      </w:r>
      <w:bookmarkEnd w:id="13"/>
      <w:bookmarkEnd w:id="14"/>
      <w:bookmarkEnd w:id="15"/>
      <w:r>
        <w:rPr>
          <w:rFonts w:hint="eastAsia" w:ascii="仿宋_GB2312" w:eastAsia="仿宋_GB2312"/>
          <w:sz w:val="32"/>
          <w:szCs w:val="32"/>
          <w:lang w:eastAsia="zh-CN"/>
        </w:rPr>
        <w:t>中国电视艺术家协会本级、中国文联电视艺术中心、当代电视杂志社。</w:t>
      </w:r>
    </w:p>
    <w:p>
      <w:pPr>
        <w:pStyle w:val="21"/>
        <w:keepNext/>
        <w:keepLines/>
        <w:spacing w:after="0" w:line="560" w:lineRule="atLeast"/>
        <w:ind w:firstLine="640" w:firstLineChars="200"/>
        <w:jc w:val="both"/>
        <w:rPr>
          <w:rFonts w:ascii="黑体" w:hAnsi="黑体" w:eastAsia="黑体" w:cs="黑体"/>
          <w:sz w:val="32"/>
          <w:szCs w:val="32"/>
          <w:lang w:eastAsia="zh-CN"/>
        </w:rPr>
      </w:pP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1"/>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序号</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单位名称</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预算单位编码</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预算等级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1</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w:t>
            </w:r>
          </w:p>
        </w:tc>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206012</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二级预算单位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2</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中国电视艺术家协会本级</w:t>
            </w:r>
          </w:p>
        </w:tc>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206012001</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三级预算单位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3</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中国文联电视艺术中心</w:t>
            </w:r>
          </w:p>
        </w:tc>
        <w:tc>
          <w:tcPr>
            <w:tcW w:w="1250" w:type="pct"/>
          </w:tcPr>
          <w:p>
            <w:pPr>
              <w:jc w:val="center"/>
              <w:rPr>
                <w:rFonts w:ascii="仿宋_GB2312" w:eastAsia="仿宋_GB2312"/>
                <w:sz w:val="32"/>
                <w:szCs w:val="32"/>
                <w:lang w:eastAsia="zh-CN"/>
              </w:rPr>
            </w:pPr>
            <w:r>
              <w:rPr>
                <w:rFonts w:hint="eastAsia" w:ascii="仿宋_GB2312" w:eastAsia="仿宋_GB2312"/>
                <w:sz w:val="32"/>
                <w:szCs w:val="32"/>
                <w:lang w:eastAsia="zh-CN"/>
              </w:rPr>
              <w:t>206012002</w:t>
            </w:r>
          </w:p>
        </w:tc>
        <w:tc>
          <w:tcPr>
            <w:tcW w:w="1250" w:type="pct"/>
          </w:tcPr>
          <w:p>
            <w:pPr>
              <w:jc w:val="center"/>
              <w:rPr>
                <w:rFonts w:ascii="仿宋_GB2312" w:hAnsi="宋体" w:eastAsia="仿宋_GB2312" w:cs="宋体"/>
                <w:sz w:val="32"/>
                <w:szCs w:val="32"/>
                <w:lang w:eastAsia="zh-CN"/>
              </w:rPr>
            </w:pPr>
            <w:r>
              <w:rPr>
                <w:rFonts w:hint="eastAsia" w:ascii="仿宋_GB2312" w:hAnsi="宋体" w:eastAsia="仿宋_GB2312" w:cs="宋体"/>
                <w:sz w:val="32"/>
                <w:szCs w:val="32"/>
                <w:lang w:eastAsia="zh-CN"/>
              </w:rPr>
              <w:t>三级预算单位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250" w:type="pct"/>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4</w:t>
            </w:r>
          </w:p>
        </w:tc>
        <w:tc>
          <w:tcPr>
            <w:tcW w:w="1250" w:type="pct"/>
          </w:tcPr>
          <w:p>
            <w:pPr>
              <w:jc w:val="center"/>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当代电视杂志社</w:t>
            </w:r>
          </w:p>
        </w:tc>
        <w:tc>
          <w:tcPr>
            <w:tcW w:w="1250" w:type="pct"/>
          </w:tcPr>
          <w:p>
            <w:pPr>
              <w:jc w:val="center"/>
              <w:rPr>
                <w:rFonts w:hint="default" w:ascii="仿宋_GB2312" w:eastAsia="仿宋_GB2312"/>
                <w:sz w:val="32"/>
                <w:szCs w:val="32"/>
                <w:lang w:val="en-US" w:eastAsia="zh-CN"/>
              </w:rPr>
            </w:pPr>
            <w:r>
              <w:rPr>
                <w:rFonts w:hint="eastAsia" w:ascii="仿宋_GB2312" w:eastAsia="仿宋_GB2312"/>
                <w:sz w:val="32"/>
                <w:szCs w:val="32"/>
                <w:lang w:val="en-US" w:eastAsia="zh-CN"/>
              </w:rPr>
              <w:t>206012003</w:t>
            </w:r>
          </w:p>
        </w:tc>
        <w:tc>
          <w:tcPr>
            <w:tcW w:w="1250" w:type="pct"/>
          </w:tcPr>
          <w:p>
            <w:pPr>
              <w:jc w:val="center"/>
              <w:rPr>
                <w:rFonts w:hint="eastAsia" w:ascii="仿宋_GB2312" w:hAnsi="宋体" w:eastAsia="仿宋_GB2312" w:cs="宋体"/>
                <w:sz w:val="32"/>
                <w:szCs w:val="32"/>
                <w:lang w:eastAsia="zh-CN"/>
              </w:rPr>
            </w:pPr>
            <w:r>
              <w:rPr>
                <w:rFonts w:hint="eastAsia" w:ascii="仿宋_GB2312" w:hAnsi="宋体" w:eastAsia="仿宋_GB2312" w:cs="宋体"/>
                <w:sz w:val="32"/>
                <w:szCs w:val="32"/>
                <w:lang w:eastAsia="zh-CN"/>
              </w:rPr>
              <w:t>三级预算单位</w:t>
            </w:r>
          </w:p>
        </w:tc>
      </w:tr>
    </w:tbl>
    <w:p>
      <w:pPr>
        <w:rPr>
          <w:lang w:eastAsia="zh-CN"/>
        </w:rPr>
      </w:pPr>
    </w:p>
    <w:p>
      <w:pPr>
        <w:rPr>
          <w:lang w:eastAsia="zh-CN"/>
        </w:rPr>
      </w:pPr>
    </w:p>
    <w:p>
      <w:pPr>
        <w:rPr>
          <w:lang w:eastAsia="zh-CN"/>
        </w:rPr>
        <w:sectPr>
          <w:footerReference r:id="rId7" w:type="default"/>
          <w:pgSz w:w="11900" w:h="16840"/>
          <w:pgMar w:top="1565" w:right="1372" w:bottom="1565" w:left="1457" w:header="1049" w:footer="567" w:gutter="0"/>
          <w:cols w:space="720" w:num="1"/>
          <w:docGrid w:linePitch="360" w:charSpace="0"/>
        </w:sectPr>
      </w:pPr>
    </w:p>
    <w:p>
      <w:pPr>
        <w:pStyle w:val="27"/>
        <w:keepNext/>
        <w:keepLines/>
        <w:spacing w:after="160" w:line="240" w:lineRule="auto"/>
        <w:ind w:left="0" w:firstLine="0"/>
        <w:jc w:val="center"/>
        <w:rPr>
          <w:rFonts w:hint="eastAsia" w:ascii="黑体" w:hAnsi="黑体" w:eastAsia="黑体" w:cs="黑体"/>
          <w:sz w:val="44"/>
          <w:szCs w:val="44"/>
        </w:rPr>
      </w:pPr>
      <w:bookmarkStart w:id="16" w:name="bookmark30"/>
      <w:bookmarkStart w:id="17" w:name="bookmark32"/>
      <w:bookmarkStart w:id="18" w:name="bookmark31"/>
      <w:r>
        <w:rPr>
          <w:rFonts w:hint="eastAsia" w:ascii="黑体" w:hAnsi="黑体" w:eastAsia="黑体" w:cs="黑体"/>
          <w:sz w:val="44"/>
          <w:szCs w:val="44"/>
        </w:rPr>
        <w:t>第二部分：202</w:t>
      </w:r>
      <w:r>
        <w:rPr>
          <w:rFonts w:hint="eastAsia" w:ascii="黑体" w:hAnsi="黑体" w:eastAsia="黑体" w:cs="黑体"/>
          <w:sz w:val="44"/>
          <w:szCs w:val="44"/>
          <w:lang w:val="en-US" w:eastAsia="zh-CN"/>
        </w:rPr>
        <w:t>4</w:t>
      </w:r>
      <w:r>
        <w:rPr>
          <w:rFonts w:hint="eastAsia" w:ascii="黑体" w:hAnsi="黑体" w:eastAsia="黑体" w:cs="黑体"/>
          <w:sz w:val="44"/>
          <w:szCs w:val="44"/>
        </w:rPr>
        <w:t>年度部门</w:t>
      </w:r>
      <w:r>
        <w:rPr>
          <w:rFonts w:hint="eastAsia" w:ascii="黑体" w:hAnsi="黑体" w:eastAsia="黑体" w:cs="黑体"/>
          <w:sz w:val="44"/>
          <w:szCs w:val="44"/>
          <w:lang w:eastAsia="zh-CN"/>
        </w:rPr>
        <w:t>预</w:t>
      </w:r>
      <w:r>
        <w:rPr>
          <w:rFonts w:hint="eastAsia" w:ascii="黑体" w:hAnsi="黑体" w:eastAsia="黑体" w:cs="黑体"/>
          <w:sz w:val="44"/>
          <w:szCs w:val="44"/>
        </w:rPr>
        <w:t>算表</w:t>
      </w:r>
      <w:bookmarkEnd w:id="16"/>
      <w:bookmarkEnd w:id="17"/>
      <w:bookmarkEnd w:id="18"/>
    </w:p>
    <w:p>
      <w:pPr>
        <w:pStyle w:val="27"/>
        <w:keepNext/>
        <w:keepLines/>
        <w:spacing w:after="160" w:line="240" w:lineRule="auto"/>
        <w:ind w:left="0" w:firstLine="0"/>
        <w:jc w:val="both"/>
        <w:rPr>
          <w:rFonts w:hint="eastAsia" w:ascii="方正小标宋简体" w:hAnsi="方正小标宋简体" w:eastAsia="PMingLiU" w:cs="方正小标宋简体"/>
          <w:sz w:val="36"/>
          <w:szCs w:val="36"/>
        </w:rPr>
      </w:pPr>
    </w:p>
    <w:p>
      <w:pPr>
        <w:pStyle w:val="27"/>
        <w:keepNext/>
        <w:keepLines/>
        <w:spacing w:after="160" w:line="240" w:lineRule="auto"/>
        <w:ind w:left="0" w:firstLine="0"/>
        <w:jc w:val="center"/>
        <w:rPr>
          <w:rFonts w:hint="eastAsia" w:ascii="方正小标宋简体" w:hAnsi="方正小标宋简体" w:eastAsia="宋体" w:cs="方正小标宋简体"/>
          <w:sz w:val="36"/>
          <w:szCs w:val="36"/>
          <w:lang w:eastAsia="zh-CN"/>
        </w:rPr>
      </w:pPr>
      <w:r>
        <w:rPr>
          <w:rFonts w:hint="eastAsia" w:ascii="方正小标宋简体" w:hAnsi="方正小标宋简体" w:eastAsia="宋体" w:cs="方正小标宋简体"/>
          <w:sz w:val="36"/>
          <w:szCs w:val="36"/>
          <w:lang w:eastAsia="zh-CN"/>
        </w:rPr>
        <w:object>
          <v:shape id="_x0000_i1025" o:spt="75" type="#_x0000_t75" style="height:322.2pt;width:713.4pt;" o:ole="t" filled="f" o:preferrelative="t" stroked="f" coordsize="21600,21600">
            <v:path/>
            <v:fill on="f" focussize="0,0"/>
            <v:stroke on="f"/>
            <v:imagedata r:id="rId12" o:title=""/>
            <o:lock v:ext="edit" aspectratio="t"/>
            <w10:wrap type="none"/>
            <w10:anchorlock/>
          </v:shape>
          <o:OLEObject Type="Embed" ProgID="Excel.Sheet.8" ShapeID="_x0000_i1025" DrawAspect="Content" ObjectID="_1468075725" r:id="rId11">
            <o:LockedField>false</o:LockedField>
          </o:OLEObject>
        </w:object>
      </w: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pP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sectPr>
          <w:footerReference r:id="rId8" w:type="default"/>
          <w:pgSz w:w="16840" w:h="11910" w:orient="landscape"/>
          <w:pgMar w:top="280" w:right="520" w:bottom="296" w:left="740" w:header="56" w:footer="629" w:gutter="0"/>
          <w:cols w:space="720" w:num="1"/>
        </w:sectPr>
      </w:pP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pP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pP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sectPr>
          <w:pgSz w:w="16840" w:h="11910" w:orient="landscape"/>
          <w:pgMar w:top="280" w:right="520" w:bottom="296" w:left="740" w:header="56" w:footer="629" w:gutter="0"/>
          <w:cols w:space="720" w:num="1"/>
        </w:sectPr>
      </w:pPr>
      <w:r>
        <w:rPr>
          <w:rFonts w:hint="eastAsia" w:ascii="方正小标宋简体" w:hAnsi="方正小标宋简体" w:eastAsia="宋体" w:cs="方正小标宋简体"/>
          <w:sz w:val="36"/>
          <w:szCs w:val="36"/>
          <w:lang w:eastAsia="zh-CN"/>
        </w:rPr>
        <w:object>
          <v:shape id="_x0000_i1026" o:spt="75" type="#_x0000_t75" style="height:190.85pt;width:1064.3pt;" o:ole="t" filled="f" o:preferrelative="t" stroked="f" coordsize="21600,21600">
            <v:path/>
            <v:fill on="f" focussize="0,0"/>
            <v:stroke on="f"/>
            <v:imagedata r:id="rId14" o:title=""/>
            <o:lock v:ext="edit" aspectratio="t"/>
            <w10:wrap type="none"/>
            <w10:anchorlock/>
          </v:shape>
          <o:OLEObject Type="Embed" ProgID="Excel.Sheet.12" ShapeID="_x0000_i1026" DrawAspect="Content" ObjectID="_1468075726" r:id="rId13">
            <o:LockedField>false</o:LockedField>
          </o:OLEObject>
        </w:object>
      </w: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sectPr>
          <w:pgSz w:w="11910" w:h="16840"/>
          <w:pgMar w:top="520" w:right="296" w:bottom="740" w:left="280" w:header="56" w:footer="629" w:gutter="0"/>
          <w:cols w:space="720" w:num="1"/>
        </w:sectPr>
      </w:pPr>
      <w:r>
        <w:rPr>
          <w:rFonts w:hint="eastAsia" w:ascii="方正小标宋简体" w:hAnsi="方正小标宋简体" w:eastAsia="宋体" w:cs="方正小标宋简体"/>
          <w:sz w:val="36"/>
          <w:szCs w:val="36"/>
          <w:lang w:eastAsia="zh-CN"/>
        </w:rPr>
        <w:object>
          <v:shape id="_x0000_i1027" o:spt="75" type="#_x0000_t75" style="height:600.6pt;width:620.4pt;" o:ole="t" filled="f" o:preferrelative="t" stroked="f" coordsize="21600,21600">
            <v:path/>
            <v:fill on="f" focussize="0,0"/>
            <v:stroke on="f"/>
            <v:imagedata r:id="rId16" o:title=""/>
            <o:lock v:ext="edit" aspectratio="t"/>
            <w10:wrap type="none"/>
            <w10:anchorlock/>
          </v:shape>
          <o:OLEObject Type="Embed" ProgID="Excel.Sheet.8" ShapeID="_x0000_i1027" DrawAspect="Content" ObjectID="_1468075727" r:id="rId15">
            <o:LockedField>false</o:LockedField>
          </o:OLEObject>
        </w:object>
      </w:r>
    </w:p>
    <w:p>
      <w:pPr>
        <w:pStyle w:val="27"/>
        <w:keepNext/>
        <w:keepLines/>
        <w:spacing w:after="160" w:line="240" w:lineRule="auto"/>
        <w:ind w:left="0" w:firstLine="0"/>
        <w:jc w:val="center"/>
        <w:rPr>
          <w:rFonts w:hint="eastAsia" w:ascii="方正小标宋简体" w:hAnsi="方正小标宋简体" w:eastAsia="宋体" w:cs="方正小标宋简体"/>
          <w:sz w:val="36"/>
          <w:szCs w:val="36"/>
          <w:lang w:eastAsia="zh-CN"/>
        </w:rPr>
      </w:pPr>
      <w:r>
        <w:rPr>
          <w:rFonts w:hint="eastAsia" w:ascii="方正小标宋简体" w:hAnsi="方正小标宋简体" w:eastAsia="宋体" w:cs="方正小标宋简体"/>
          <w:sz w:val="36"/>
          <w:szCs w:val="36"/>
          <w:lang w:eastAsia="zh-CN"/>
        </w:rPr>
        <w:object>
          <v:shape id="_x0000_i1028" o:spt="75" type="#_x0000_t75" style="height:343.2pt;width:682.8pt;" o:ole="t" filled="f" o:preferrelative="t" stroked="f" coordsize="21600,21600">
            <v:path/>
            <v:fill on="f" focussize="0,0"/>
            <v:stroke on="f"/>
            <v:imagedata r:id="rId18" o:title=""/>
            <o:lock v:ext="edit" aspectratio="t"/>
            <w10:wrap type="none"/>
            <w10:anchorlock/>
          </v:shape>
          <o:OLEObject Type="Embed" ProgID="Excel.Sheet.12" ShapeID="_x0000_i1028" DrawAspect="Content" ObjectID="_1468075728" r:id="rId17">
            <o:LockedField>false</o:LockedField>
          </o:OLEObject>
        </w:object>
      </w: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pPr>
    </w:p>
    <w:p>
      <w:pPr>
        <w:pStyle w:val="27"/>
        <w:keepNext/>
        <w:keepLines/>
        <w:spacing w:after="160" w:line="240" w:lineRule="auto"/>
        <w:ind w:left="0" w:firstLine="0"/>
        <w:jc w:val="both"/>
        <w:rPr>
          <w:rFonts w:hint="eastAsia" w:ascii="方正小标宋简体" w:hAnsi="方正小标宋简体" w:eastAsia="宋体" w:cs="方正小标宋简体"/>
          <w:sz w:val="36"/>
          <w:szCs w:val="36"/>
          <w:lang w:eastAsia="zh-CN"/>
        </w:rPr>
      </w:pPr>
    </w:p>
    <w:p>
      <w:pPr>
        <w:tabs>
          <w:tab w:val="center" w:pos="7790"/>
        </w:tabs>
        <w:bidi w:val="0"/>
        <w:jc w:val="left"/>
        <w:rPr>
          <w:rFonts w:hint="eastAsia"/>
          <w:lang w:eastAsia="zh-CN"/>
        </w:rPr>
        <w:sectPr>
          <w:pgSz w:w="16840" w:h="11910" w:orient="landscape"/>
          <w:pgMar w:top="280" w:right="520" w:bottom="296" w:left="740" w:header="56" w:footer="629" w:gutter="0"/>
          <w:cols w:space="720" w:num="1"/>
        </w:sectPr>
      </w:pPr>
      <w:r>
        <w:rPr>
          <w:rFonts w:hint="eastAsia"/>
          <w:lang w:eastAsia="zh-CN"/>
        </w:rPr>
        <w:tab/>
      </w:r>
    </w:p>
    <w:p>
      <w:pPr>
        <w:pStyle w:val="5"/>
        <w:jc w:val="center"/>
        <w:rPr>
          <w:rFonts w:hint="eastAsia"/>
          <w:lang w:eastAsia="zh-CN"/>
        </w:rPr>
        <w:sectPr>
          <w:pgSz w:w="16840" w:h="11910" w:orient="landscape"/>
          <w:pgMar w:top="280" w:right="520" w:bottom="296" w:left="740" w:header="56" w:footer="629" w:gutter="0"/>
          <w:cols w:space="720" w:num="1"/>
        </w:sectPr>
      </w:pPr>
      <w:r>
        <w:rPr>
          <w:rFonts w:hint="eastAsia"/>
          <w:lang w:eastAsia="zh-CN"/>
        </w:rPr>
        <w:object>
          <v:shape id="_x0000_i1029" o:spt="75" type="#_x0000_t75" style="height:434.25pt;width:1417.8pt;" o:ole="t" filled="f" o:preferrelative="t" stroked="f" coordsize="21600,21600">
            <v:path/>
            <v:fill on="f" focussize="0,0"/>
            <v:stroke on="f"/>
            <v:imagedata r:id="rId20" o:title=""/>
            <o:lock v:ext="edit" aspectratio="t"/>
            <w10:wrap type="none"/>
            <w10:anchorlock/>
          </v:shape>
          <o:OLEObject Type="Embed" ProgID="Excel.Sheet.12" ShapeID="_x0000_i1029" DrawAspect="Content" ObjectID="_1468075729" r:id="rId19">
            <o:LockedField>false</o:LockedField>
          </o:OLEObject>
        </w:object>
      </w:r>
    </w:p>
    <w:p>
      <w:pPr>
        <w:pStyle w:val="5"/>
        <w:jc w:val="center"/>
        <w:rPr>
          <w:rFonts w:hint="eastAsia"/>
          <w:lang w:eastAsia="zh-CN"/>
        </w:rPr>
      </w:pPr>
      <w:r>
        <w:rPr>
          <w:rFonts w:hint="eastAsia"/>
          <w:lang w:eastAsia="zh-CN"/>
        </w:rPr>
        <w:object>
          <v:shape id="_x0000_i1030" o:spt="75" type="#_x0000_t75" style="height:226.8pt;width:1497pt;" o:ole="t" filled="f" o:preferrelative="t" stroked="f" coordsize="21600,21600">
            <v:path/>
            <v:fill on="f" focussize="0,0"/>
            <v:stroke on="f"/>
            <v:imagedata r:id="rId22" o:title=""/>
            <o:lock v:ext="edit" aspectratio="t"/>
            <w10:wrap type="none"/>
            <w10:anchorlock/>
          </v:shape>
          <o:OLEObject Type="Embed" ProgID="Excel.Sheet.8" ShapeID="_x0000_i1030" DrawAspect="Content" ObjectID="_1468075730" r:id="rId21">
            <o:LockedField>false</o:LockedField>
          </o:OLEObject>
        </w:object>
      </w:r>
    </w:p>
    <w:p>
      <w:pPr>
        <w:pStyle w:val="5"/>
        <w:rPr>
          <w:rFonts w:hint="eastAsia"/>
          <w:lang w:eastAsia="zh-CN"/>
        </w:rPr>
      </w:pPr>
    </w:p>
    <w:p>
      <w:pPr>
        <w:pStyle w:val="5"/>
        <w:rPr>
          <w:rFonts w:hint="eastAsia"/>
          <w:lang w:eastAsia="zh-CN"/>
        </w:rPr>
      </w:pPr>
    </w:p>
    <w:p>
      <w:pPr>
        <w:pStyle w:val="5"/>
        <w:rPr>
          <w:rFonts w:hint="eastAsia"/>
          <w:lang w:eastAsia="zh-CN"/>
        </w:rPr>
        <w:sectPr>
          <w:pgSz w:w="16840" w:h="11910" w:orient="landscape"/>
          <w:pgMar w:top="280" w:right="520" w:bottom="296" w:left="740" w:header="56" w:footer="629" w:gutter="0"/>
          <w:cols w:space="720" w:num="1"/>
        </w:sectPr>
      </w:pPr>
    </w:p>
    <w:p>
      <w:pPr>
        <w:pStyle w:val="5"/>
        <w:rPr>
          <w:rFonts w:hint="eastAsia"/>
          <w:lang w:eastAsia="zh-CN"/>
        </w:rPr>
      </w:pPr>
    </w:p>
    <w:p>
      <w:pPr>
        <w:pStyle w:val="5"/>
        <w:rPr>
          <w:rFonts w:hint="eastAsia"/>
          <w:lang w:eastAsia="zh-CN"/>
        </w:rPr>
      </w:pPr>
    </w:p>
    <w:p>
      <w:pPr>
        <w:pStyle w:val="5"/>
        <w:rPr>
          <w:rFonts w:hint="eastAsia"/>
          <w:lang w:eastAsia="zh-CN"/>
        </w:rPr>
      </w:pPr>
    </w:p>
    <w:p>
      <w:pPr>
        <w:pStyle w:val="5"/>
        <w:rPr>
          <w:rFonts w:hint="eastAsia"/>
          <w:lang w:eastAsia="zh-CN"/>
        </w:rPr>
        <w:sectPr>
          <w:pgSz w:w="16840" w:h="11910" w:orient="landscape"/>
          <w:pgMar w:top="280" w:right="520" w:bottom="296" w:left="740" w:header="56" w:footer="629" w:gutter="0"/>
          <w:cols w:space="720" w:num="1"/>
        </w:sectPr>
      </w:pPr>
      <w:r>
        <w:rPr>
          <w:rFonts w:hint="eastAsia"/>
          <w:lang w:eastAsia="zh-CN"/>
        </w:rPr>
        <w:object>
          <v:shape id="_x0000_i1031" o:spt="75" type="#_x0000_t75" style="height:241.8pt;width:664.8pt;" o:ole="t" filled="f" o:preferrelative="t" stroked="f" coordsize="21600,21600">
            <v:path/>
            <v:fill on="f" focussize="0,0"/>
            <v:stroke on="f"/>
            <v:imagedata r:id="rId24" o:title=""/>
            <o:lock v:ext="edit" aspectratio="t"/>
            <w10:wrap type="none"/>
            <w10:anchorlock/>
          </v:shape>
          <o:OLEObject Type="Embed" ProgID="Excel.Sheet.8" ShapeID="_x0000_i1031" DrawAspect="Content" ObjectID="_1468075731" r:id="rId23">
            <o:LockedField>false</o:LockedField>
          </o:OLEObject>
        </w:object>
      </w:r>
    </w:p>
    <w:p>
      <w:pPr>
        <w:pStyle w:val="5"/>
        <w:jc w:val="center"/>
        <w:rPr>
          <w:rFonts w:hint="eastAsia"/>
          <w:lang w:eastAsia="zh-CN"/>
        </w:rPr>
        <w:sectPr>
          <w:pgSz w:w="11910" w:h="16840"/>
          <w:pgMar w:top="520" w:right="296" w:bottom="740" w:left="280" w:header="56" w:footer="629" w:gutter="0"/>
          <w:cols w:space="720" w:num="1"/>
        </w:sectPr>
      </w:pPr>
      <w:r>
        <w:rPr>
          <w:rFonts w:hint="eastAsia"/>
          <w:lang w:eastAsia="zh-CN"/>
        </w:rPr>
        <w:object>
          <v:shape id="_x0000_i1032" o:spt="75" type="#_x0000_t75" style="height:706.2pt;width:391.2pt;" o:ole="t" filled="f" o:preferrelative="t" stroked="f" coordsize="21600,21600">
            <v:path/>
            <v:fill on="f" focussize="0,0"/>
            <v:stroke on="f"/>
            <v:imagedata r:id="rId26" o:title=""/>
            <o:lock v:ext="edit" aspectratio="t"/>
            <w10:wrap type="none"/>
            <w10:anchorlock/>
          </v:shape>
          <o:OLEObject Type="Embed" ProgID="Excel.Sheet.8" ShapeID="_x0000_i1032" DrawAspect="Content" ObjectID="_1468075732" r:id="rId25">
            <o:LockedField>false</o:LockedField>
          </o:OLEObject>
        </w:object>
      </w:r>
    </w:p>
    <w:p>
      <w:pPr>
        <w:pStyle w:val="5"/>
        <w:ind w:left="0" w:leftChars="0" w:firstLine="0" w:firstLineChars="0"/>
        <w:rPr>
          <w:rFonts w:hint="eastAsia"/>
          <w:lang w:eastAsia="zh-CN"/>
        </w:rPr>
      </w:pPr>
    </w:p>
    <w:p>
      <w:pPr>
        <w:pStyle w:val="5"/>
        <w:ind w:left="0" w:leftChars="0" w:firstLine="0" w:firstLineChars="0"/>
        <w:rPr>
          <w:rFonts w:hint="eastAsia"/>
          <w:lang w:eastAsia="zh-CN"/>
        </w:rPr>
      </w:pPr>
    </w:p>
    <w:p>
      <w:pPr>
        <w:pStyle w:val="5"/>
        <w:ind w:left="0" w:leftChars="0" w:firstLine="0" w:firstLineChars="0"/>
        <w:rPr>
          <w:rFonts w:hint="eastAsia"/>
          <w:lang w:eastAsia="zh-CN"/>
        </w:rPr>
      </w:pPr>
    </w:p>
    <w:p>
      <w:pPr>
        <w:pStyle w:val="5"/>
        <w:ind w:left="0" w:leftChars="0" w:firstLine="0" w:firstLineChars="0"/>
        <w:jc w:val="center"/>
        <w:rPr>
          <w:rFonts w:hint="eastAsia"/>
          <w:lang w:eastAsia="zh-CN"/>
        </w:rPr>
        <w:sectPr>
          <w:pgSz w:w="16840" w:h="11910" w:orient="landscape"/>
          <w:pgMar w:top="280" w:right="520" w:bottom="296" w:left="740" w:header="56" w:footer="629" w:gutter="0"/>
          <w:cols w:space="720" w:num="1"/>
        </w:sectPr>
      </w:pPr>
      <w:r>
        <w:rPr>
          <w:rFonts w:hint="eastAsia"/>
          <w:lang w:eastAsia="zh-CN"/>
        </w:rPr>
        <w:object>
          <v:shape id="_x0000_i1033" o:spt="75" type="#_x0000_t75" style="height:205.2pt;width:923.4pt;" o:ole="t" filled="f" o:preferrelative="t" stroked="f" coordsize="21600,21600">
            <v:path/>
            <v:fill on="f" focussize="0,0"/>
            <v:stroke on="f"/>
            <v:imagedata r:id="rId28" o:title=""/>
            <o:lock v:ext="edit" aspectratio="t"/>
            <w10:wrap type="none"/>
            <w10:anchorlock/>
          </v:shape>
          <o:OLEObject Type="Embed" ProgID="Excel.Sheet.8" ShapeID="_x0000_i1033" DrawAspect="Content" ObjectID="_1468075733" r:id="rId27">
            <o:LockedField>false</o:LockedField>
          </o:OLEObject>
        </w:object>
      </w:r>
    </w:p>
    <w:p>
      <w:pPr>
        <w:pStyle w:val="19"/>
        <w:spacing w:line="560" w:lineRule="exact"/>
        <w:ind w:left="0" w:leftChars="0" w:firstLine="0" w:firstLineChars="0"/>
        <w:jc w:val="center"/>
        <w:rPr>
          <w:rFonts w:hint="eastAsia" w:ascii="黑体" w:hAnsi="黑体" w:eastAsia="黑体" w:cs="黑体"/>
          <w:sz w:val="44"/>
          <w:szCs w:val="44"/>
        </w:rPr>
      </w:pPr>
      <w:r>
        <w:rPr>
          <w:rFonts w:hint="eastAsia" w:ascii="黑体" w:hAnsi="黑体" w:eastAsia="黑体" w:cs="黑体"/>
          <w:sz w:val="44"/>
          <w:szCs w:val="44"/>
        </w:rPr>
        <w:t>第三部分：202</w:t>
      </w:r>
      <w:r>
        <w:rPr>
          <w:rFonts w:hint="eastAsia" w:ascii="黑体" w:hAnsi="黑体" w:eastAsia="黑体" w:cs="黑体"/>
          <w:sz w:val="44"/>
          <w:szCs w:val="44"/>
          <w:lang w:val="en-US" w:eastAsia="zh-CN"/>
        </w:rPr>
        <w:t>4</w:t>
      </w:r>
      <w:r>
        <w:rPr>
          <w:rFonts w:hint="eastAsia" w:ascii="黑体" w:hAnsi="黑体" w:eastAsia="黑体" w:cs="黑体"/>
          <w:sz w:val="44"/>
          <w:szCs w:val="44"/>
        </w:rPr>
        <w:t>年部门</w:t>
      </w:r>
      <w:r>
        <w:rPr>
          <w:rFonts w:hint="eastAsia" w:ascii="黑体" w:hAnsi="黑体" w:eastAsia="黑体" w:cs="黑体"/>
          <w:sz w:val="44"/>
          <w:szCs w:val="44"/>
          <w:lang w:eastAsia="zh-CN"/>
        </w:rPr>
        <w:t>预算</w:t>
      </w:r>
      <w:r>
        <w:rPr>
          <w:rFonts w:hint="eastAsia" w:ascii="黑体" w:hAnsi="黑体" w:eastAsia="黑体" w:cs="黑体"/>
          <w:sz w:val="44"/>
          <w:szCs w:val="44"/>
        </w:rPr>
        <w:t>情况说明</w:t>
      </w:r>
    </w:p>
    <w:p>
      <w:pPr>
        <w:pStyle w:val="19"/>
        <w:spacing w:line="560" w:lineRule="exact"/>
        <w:ind w:firstLine="660"/>
        <w:jc w:val="both"/>
        <w:rPr>
          <w:rFonts w:ascii="黑体" w:hAnsi="黑体" w:eastAsia="PMingLiU" w:cs="黑体"/>
          <w:sz w:val="32"/>
          <w:szCs w:val="32"/>
        </w:rPr>
      </w:pPr>
    </w:p>
    <w:p>
      <w:pPr>
        <w:pStyle w:val="19"/>
        <w:spacing w:line="560" w:lineRule="exact"/>
        <w:ind w:firstLine="660"/>
        <w:jc w:val="both"/>
        <w:rPr>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2024年收支预算情况的</w:t>
      </w:r>
      <w:r>
        <w:rPr>
          <w:rFonts w:hint="eastAsia" w:ascii="黑体" w:hAnsi="黑体" w:eastAsia="黑体" w:cs="黑体"/>
          <w:sz w:val="32"/>
          <w:szCs w:val="32"/>
        </w:rPr>
        <w:t>总体说明</w:t>
      </w:r>
    </w:p>
    <w:p>
      <w:pPr>
        <w:pStyle w:val="19"/>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eastAsia="仿宋_GB2312"/>
          <w:sz w:val="32"/>
          <w:szCs w:val="32"/>
          <w:lang w:eastAsia="zh-CN"/>
        </w:rPr>
        <w:t>按照综合预算的原则，中国电视艺术家协会所有收入和支出均纳入部门预算管理。收入包括：一般公共预算拨款收入</w:t>
      </w:r>
      <w:r>
        <w:rPr>
          <w:rFonts w:hint="eastAsia" w:ascii="仿宋_GB2312" w:hAnsi="仿宋_GB2312" w:eastAsia="仿宋_GB2312" w:cs="仿宋_GB2312"/>
          <w:sz w:val="32"/>
          <w:szCs w:val="32"/>
          <w:lang w:eastAsia="zh-CN"/>
        </w:rPr>
        <w:t>、事业收入、其他收入、使用非财政拨款结余、上年结转；支出包括：文化旅游体育与传媒支出、社会保障和就业支出、卫生健康支出、住房保障支出等。中国电视艺术家协会</w:t>
      </w:r>
      <w:r>
        <w:rPr>
          <w:rFonts w:hint="eastAsia" w:ascii="仿宋_GB2312" w:hAnsi="仿宋_GB2312" w:eastAsia="仿宋_GB2312" w:cs="仿宋_GB2312"/>
          <w:sz w:val="32"/>
          <w:szCs w:val="32"/>
          <w:lang w:val="en-US" w:eastAsia="zh-CN"/>
        </w:rPr>
        <w:t>2024年收支总预算5000.60万元。</w:t>
      </w:r>
    </w:p>
    <w:p>
      <w:pPr>
        <w:pStyle w:val="19"/>
        <w:spacing w:line="560" w:lineRule="exact"/>
        <w:ind w:firstLine="0"/>
        <w:jc w:val="both"/>
        <w:rPr>
          <w:rFonts w:ascii="仿宋_GB2312" w:eastAsia="仿宋_GB2312"/>
          <w:sz w:val="32"/>
          <w:szCs w:val="32"/>
          <w:lang w:eastAsia="zh-CN"/>
        </w:rPr>
      </w:pPr>
    </w:p>
    <w:p>
      <w:pPr>
        <w:pStyle w:val="19"/>
        <w:spacing w:line="560" w:lineRule="exact"/>
        <w:ind w:firstLine="0"/>
        <w:jc w:val="both"/>
        <w:rPr>
          <w:rFonts w:ascii="仿宋_GB2312" w:eastAsia="仿宋_GB2312"/>
          <w:sz w:val="32"/>
          <w:szCs w:val="32"/>
          <w:lang w:eastAsia="zh-CN"/>
        </w:rPr>
      </w:pPr>
    </w:p>
    <w:p>
      <w:pPr>
        <w:pStyle w:val="19"/>
        <w:spacing w:line="560" w:lineRule="exact"/>
        <w:ind w:firstLine="0"/>
        <w:jc w:val="both"/>
        <w:rPr>
          <w:rFonts w:ascii="仿宋_GB2312" w:eastAsia="仿宋_GB2312"/>
          <w:sz w:val="32"/>
          <w:szCs w:val="32"/>
          <w:lang w:eastAsia="zh-CN"/>
        </w:rPr>
      </w:pPr>
    </w:p>
    <w:p>
      <w:pPr>
        <w:pStyle w:val="19"/>
        <w:spacing w:line="560" w:lineRule="exact"/>
        <w:ind w:firstLine="0"/>
        <w:jc w:val="both"/>
        <w:rPr>
          <w:rFonts w:ascii="仿宋_GB2312" w:eastAsia="仿宋_GB2312"/>
          <w:sz w:val="32"/>
          <w:szCs w:val="32"/>
          <w:lang w:eastAsia="zh-CN"/>
        </w:rPr>
      </w:pPr>
    </w:p>
    <w:p>
      <w:pPr>
        <w:rPr>
          <w:rFonts w:hint="eastAsia" w:ascii="黑体" w:hAnsi="黑体" w:eastAsia="黑体" w:cs="黑体"/>
          <w:sz w:val="32"/>
          <w:szCs w:val="32"/>
        </w:rPr>
      </w:pPr>
      <w:r>
        <w:rPr>
          <w:rFonts w:hint="eastAsia" w:ascii="黑体" w:hAnsi="黑体" w:eastAsia="黑体" w:cs="黑体"/>
          <w:sz w:val="32"/>
          <w:szCs w:val="32"/>
        </w:rPr>
        <w:br w:type="page"/>
      </w:r>
    </w:p>
    <w:p>
      <w:pPr>
        <w:pStyle w:val="19"/>
        <w:spacing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二、</w:t>
      </w: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2024年收入预算情况的说明</w:t>
      </w:r>
    </w:p>
    <w:p>
      <w:pPr>
        <w:pStyle w:val="19"/>
        <w:spacing w:line="560" w:lineRule="exact"/>
        <w:ind w:firstLine="64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2023年收入预算5000.60万元，其中：一般公共预算拨款收入1126.52万元，占22.53%；事业收入1389.00万元，占27.78%；其他收入258.14万元，占5.16%；上年结转767.23万元，占15.34%；使用非财政拨款结余1459.71万元，占29.19%。</w:t>
      </w:r>
    </w:p>
    <w:p>
      <w:pPr>
        <w:pStyle w:val="19"/>
        <w:spacing w:line="560" w:lineRule="exact"/>
        <w:ind w:firstLine="0"/>
        <w:jc w:val="both"/>
        <w:rPr>
          <w:rFonts w:ascii="仿宋_GB2312" w:eastAsia="仿宋_GB2312"/>
          <w:sz w:val="32"/>
          <w:szCs w:val="32"/>
          <w:lang w:eastAsia="zh-CN"/>
        </w:rPr>
      </w:pPr>
    </w:p>
    <w:p>
      <w:pPr>
        <w:widowControl/>
        <w:rPr>
          <w:rFonts w:ascii="黑体" w:hAnsi="黑体" w:eastAsia="黑体" w:cs="黑体"/>
          <w:sz w:val="32"/>
          <w:szCs w:val="32"/>
          <w:lang w:val="zh-TW" w:eastAsia="zh-TW" w:bidi="zh-TW"/>
        </w:rPr>
      </w:pPr>
      <w:r>
        <w:rPr>
          <w:rFonts w:ascii="仿宋_GB2312" w:eastAsia="仿宋_GB2312"/>
          <w:sz w:val="32"/>
          <w:szCs w:val="32"/>
          <w:lang w:eastAsia="zh-CN"/>
        </w:rPr>
        <w:drawing>
          <wp:anchor distT="0" distB="0" distL="114300" distR="114300" simplePos="0" relativeHeight="251661312" behindDoc="0" locked="0" layoutInCell="1" allowOverlap="1">
            <wp:simplePos x="0" y="0"/>
            <wp:positionH relativeFrom="page">
              <wp:align>center</wp:align>
            </wp:positionH>
            <wp:positionV relativeFrom="paragraph">
              <wp:posOffset>171450</wp:posOffset>
            </wp:positionV>
            <wp:extent cx="4981575" cy="2990850"/>
            <wp:effectExtent l="0" t="0" r="0" b="0"/>
            <wp:wrapSquare wrapText="bothSides"/>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ascii="黑体" w:hAnsi="黑体" w:eastAsia="黑体" w:cs="黑体"/>
          <w:sz w:val="32"/>
          <w:szCs w:val="32"/>
          <w:lang w:eastAsia="zh-CN"/>
        </w:rPr>
        <w:br w:type="page"/>
      </w:r>
    </w:p>
    <w:p>
      <w:pPr>
        <w:pStyle w:val="19"/>
        <w:spacing w:line="560" w:lineRule="exact"/>
        <w:ind w:firstLine="620"/>
        <w:rPr>
          <w:rFonts w:hint="default" w:ascii="黑体" w:hAnsi="黑体" w:eastAsia="黑体" w:cs="黑体"/>
          <w:sz w:val="32"/>
          <w:szCs w:val="32"/>
          <w:lang w:val="en-US"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2024年支出预算情况说明</w:t>
      </w:r>
    </w:p>
    <w:p>
      <w:pPr>
        <w:pStyle w:val="35"/>
        <w:spacing w:after="0" w:line="560" w:lineRule="exact"/>
        <w:ind w:firstLine="620"/>
        <w:jc w:val="both"/>
        <w:rPr>
          <w:rFonts w:hint="default" w:ascii="仿宋_GB2312" w:hAnsi="宋体" w:eastAsia="仿宋_GB2312" w:cs="宋体"/>
          <w:lang w:val="en-US" w:eastAsia="zh-CN"/>
        </w:rPr>
      </w:pPr>
      <w:r>
        <w:rPr>
          <w:rFonts w:hint="eastAsia" w:ascii="仿宋_GB2312" w:hAnsi="宋体" w:eastAsia="仿宋_GB2312" w:cs="宋体"/>
          <w:lang w:val="en-US" w:eastAsia="zh-CN"/>
        </w:rPr>
        <w:t>2023年支出预算5000.60万元，其中基本支出3858.27万元，占77.16%；项目支出1142.33万元，占22.84%。</w:t>
      </w:r>
    </w:p>
    <w:p>
      <w:pPr>
        <w:pStyle w:val="35"/>
        <w:spacing w:after="0" w:line="560" w:lineRule="exact"/>
        <w:ind w:firstLine="620"/>
        <w:jc w:val="both"/>
        <w:rPr>
          <w:rFonts w:ascii="仿宋_GB2312" w:hAnsi="宋体" w:eastAsia="仿宋_GB2312" w:cs="宋体"/>
          <w:lang w:eastAsia="zh-CN"/>
        </w:rPr>
      </w:pPr>
      <w:r>
        <w:rPr>
          <w:rFonts w:ascii="仿宋_GB2312" w:hAnsi="宋体" w:eastAsia="仿宋_GB2312" w:cs="宋体"/>
          <w:lang w:eastAsia="zh-CN"/>
        </w:rPr>
        <w:drawing>
          <wp:anchor distT="0" distB="0" distL="114300" distR="114300" simplePos="0" relativeHeight="251659264" behindDoc="0" locked="0" layoutInCell="1" allowOverlap="1">
            <wp:simplePos x="0" y="0"/>
            <wp:positionH relativeFrom="page">
              <wp:posOffset>1023620</wp:posOffset>
            </wp:positionH>
            <wp:positionV relativeFrom="paragraph">
              <wp:posOffset>452755</wp:posOffset>
            </wp:positionV>
            <wp:extent cx="5486400" cy="3200400"/>
            <wp:effectExtent l="0" t="0" r="0" b="0"/>
            <wp:wrapSquare wrapText="bothSides"/>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widowControl/>
        <w:rPr>
          <w:rFonts w:ascii="仿宋_GB2312" w:hAnsi="宋体" w:eastAsia="仿宋_GB2312" w:cs="宋体"/>
          <w:sz w:val="32"/>
          <w:szCs w:val="32"/>
          <w:lang w:val="zh-TW" w:eastAsia="zh-CN" w:bidi="zh-TW"/>
        </w:rPr>
      </w:pPr>
      <w:r>
        <w:rPr>
          <w:rFonts w:ascii="仿宋_GB2312" w:hAnsi="宋体" w:eastAsia="仿宋_GB2312" w:cs="宋体"/>
          <w:lang w:eastAsia="zh-CN"/>
        </w:rPr>
        <w:br w:type="page"/>
      </w:r>
    </w:p>
    <w:p>
      <w:pPr>
        <w:pStyle w:val="19"/>
        <w:spacing w:line="56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rPr>
        <w:t>四、</w:t>
      </w: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2024年财政拨款收支预算情况的总体说明</w:t>
      </w:r>
    </w:p>
    <w:p>
      <w:pPr>
        <w:pStyle w:val="19"/>
        <w:spacing w:line="560" w:lineRule="exact"/>
        <w:ind w:firstLine="640" w:firstLineChars="200"/>
        <w:jc w:val="both"/>
        <w:rPr>
          <w:rFonts w:hint="default"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2024年财政拨款收支总预算1191.71万元。收入全部为一般公共预算预算拨款，无国有资本经营预算拨款，无政府性基金预算，包括一般公共预算拨款本年收入1126.52万元</w:t>
      </w:r>
      <w:r>
        <w:rPr>
          <w:rFonts w:hint="eastAsia" w:ascii="仿宋_GB2312" w:hAnsi="仿宋_GB2312" w:eastAsia="仿宋_GB2312" w:cs="仿宋_GB2312"/>
          <w:sz w:val="32"/>
          <w:szCs w:val="32"/>
          <w:lang w:val="en-US" w:eastAsia="zh-CN"/>
        </w:rPr>
        <w:t>、一般公共预算拨款上年结转65.19万元；支出包括：文化旅游体育与传媒支出945.24万元、社会保障和就业支出186.63万元、卫生健康支出2.54万元、住房保障支出57.30万元。</w:t>
      </w:r>
    </w:p>
    <w:p>
      <w:pPr>
        <w:pStyle w:val="19"/>
        <w:spacing w:line="560" w:lineRule="exact"/>
        <w:ind w:firstLine="640" w:firstLineChars="200"/>
        <w:jc w:val="both"/>
        <w:rPr>
          <w:rFonts w:hint="eastAsia" w:ascii="仿宋_GB2312" w:eastAsia="仿宋_GB2312"/>
          <w:sz w:val="32"/>
          <w:szCs w:val="32"/>
          <w:lang w:eastAsia="zh-CN"/>
        </w:rPr>
      </w:pPr>
      <w:r>
        <w:rPr>
          <w:rFonts w:ascii="黑体" w:hAnsi="黑体" w:eastAsia="黑体" w:cs="黑体"/>
          <w:sz w:val="32"/>
          <w:szCs w:val="32"/>
        </w:rPr>
        <w:drawing>
          <wp:anchor distT="0" distB="0" distL="114300" distR="114300" simplePos="0" relativeHeight="251662336" behindDoc="0" locked="0" layoutInCell="1" allowOverlap="1">
            <wp:simplePos x="0" y="0"/>
            <wp:positionH relativeFrom="margin">
              <wp:posOffset>551180</wp:posOffset>
            </wp:positionH>
            <wp:positionV relativeFrom="paragraph">
              <wp:posOffset>120650</wp:posOffset>
            </wp:positionV>
            <wp:extent cx="4905375" cy="3038475"/>
            <wp:effectExtent l="0" t="0" r="0" b="0"/>
            <wp:wrapSquare wrapText="bothSides"/>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pPr>
        <w:pStyle w:val="19"/>
        <w:spacing w:line="560" w:lineRule="exact"/>
        <w:ind w:firstLine="640" w:firstLineChars="200"/>
        <w:jc w:val="both"/>
        <w:rPr>
          <w:rFonts w:hint="eastAsia" w:ascii="仿宋_GB2312" w:eastAsia="仿宋_GB2312"/>
          <w:sz w:val="32"/>
          <w:szCs w:val="32"/>
          <w:lang w:eastAsia="zh-CN"/>
        </w:rPr>
      </w:pPr>
      <w:r>
        <w:rPr>
          <w:rFonts w:hint="eastAsia" w:ascii="仿宋_GB2312" w:eastAsia="仿宋_GB2312"/>
          <w:sz w:val="32"/>
          <w:szCs w:val="32"/>
          <w:lang w:eastAsia="zh-CN"/>
        </w:rPr>
        <w:t>中</w:t>
      </w:r>
    </w:p>
    <w:p>
      <w:pPr>
        <w:rPr>
          <w:rFonts w:hint="eastAsia" w:ascii="仿宋_GB2312" w:eastAsia="仿宋_GB2312"/>
          <w:sz w:val="32"/>
          <w:szCs w:val="32"/>
          <w:lang w:eastAsia="zh-CN"/>
        </w:rPr>
      </w:pPr>
      <w:r>
        <w:rPr>
          <w:rFonts w:hint="eastAsia" w:ascii="仿宋_GB2312" w:eastAsia="仿宋_GB2312"/>
          <w:sz w:val="32"/>
          <w:szCs w:val="32"/>
          <w:lang w:eastAsia="zh-CN"/>
        </w:rPr>
        <w:br w:type="page"/>
      </w:r>
    </w:p>
    <w:p>
      <w:pPr>
        <w:pStyle w:val="19"/>
        <w:spacing w:line="560" w:lineRule="exact"/>
        <w:ind w:left="0" w:leftChars="0" w:firstLine="640" w:firstLineChars="200"/>
        <w:jc w:val="both"/>
        <w:rPr>
          <w:rFonts w:hint="default" w:ascii="黑体" w:hAnsi="黑体" w:eastAsia="黑体" w:cs="黑体"/>
          <w:sz w:val="32"/>
          <w:szCs w:val="32"/>
          <w:lang w:val="en-US" w:eastAsia="zh-CN"/>
        </w:rPr>
      </w:pPr>
      <w:r>
        <w:rPr>
          <w:rFonts w:hint="eastAsia" w:ascii="黑体" w:hAnsi="黑体" w:eastAsia="黑体" w:cs="黑体"/>
          <w:sz w:val="32"/>
          <w:szCs w:val="32"/>
        </w:rPr>
        <w:t>五、</w:t>
      </w:r>
      <w:r>
        <w:rPr>
          <w:rFonts w:hint="eastAsia" w:ascii="黑体" w:hAnsi="黑体" w:eastAsia="黑体" w:cs="黑体"/>
          <w:sz w:val="32"/>
          <w:szCs w:val="32"/>
          <w:lang w:eastAsia="zh-CN"/>
        </w:rPr>
        <w:t>关于</w:t>
      </w:r>
      <w:r>
        <w:rPr>
          <w:rFonts w:hint="eastAsia" w:ascii="黑体" w:hAnsi="黑体" w:eastAsia="黑体" w:cs="黑体"/>
          <w:sz w:val="32"/>
          <w:szCs w:val="32"/>
          <w:lang w:val="en-US" w:eastAsia="zh-CN"/>
        </w:rPr>
        <w:t>2024年一般公共预算当年财政拨款情况的说明</w:t>
      </w:r>
    </w:p>
    <w:p>
      <w:pPr>
        <w:pStyle w:val="19"/>
        <w:spacing w:line="560" w:lineRule="exact"/>
        <w:ind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（一）一般公共预算当年财政拨款规模变化情况</w:t>
      </w:r>
    </w:p>
    <w:p>
      <w:pPr>
        <w:pStyle w:val="19"/>
        <w:spacing w:line="560" w:lineRule="exact"/>
        <w:ind w:firstLine="640" w:firstLineChars="20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2024年一般公共预算当年财政拨款1126.52万元，比2023年执行数减少47.59万元，降低4.05%。</w:t>
      </w:r>
    </w:p>
    <w:p>
      <w:pPr>
        <w:pStyle w:val="19"/>
        <w:spacing w:line="560" w:lineRule="exact"/>
        <w:ind w:firstLine="640"/>
        <w:jc w:val="both"/>
        <w:rPr>
          <w:rFonts w:hint="default" w:ascii="仿宋_GB2312" w:eastAsia="仿宋_GB2312"/>
          <w:sz w:val="32"/>
          <w:szCs w:val="32"/>
          <w:lang w:val="en-US" w:eastAsia="zh-CN"/>
        </w:rPr>
      </w:pPr>
    </w:p>
    <w:p>
      <w:pPr>
        <w:widowControl/>
        <w:jc w:val="center"/>
        <w:rPr>
          <w:rFonts w:ascii="仿宋_GB2312" w:hAnsi="宋体" w:cs="宋体" w:eastAsiaTheme="minorEastAsia"/>
          <w:sz w:val="32"/>
          <w:szCs w:val="32"/>
          <w:lang w:val="zh-TW" w:eastAsia="zh-CN" w:bidi="zh-TW"/>
        </w:rPr>
      </w:pPr>
      <w:r>
        <w:rPr>
          <w:rFonts w:ascii="仿宋_GB2312" w:eastAsiaTheme="minorEastAsia"/>
          <w:sz w:val="32"/>
          <w:szCs w:val="32"/>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Pr>
          <w:rFonts w:ascii="仿宋_GB2312" w:eastAsiaTheme="minorEastAsia"/>
          <w:sz w:val="32"/>
          <w:szCs w:val="32"/>
          <w:lang w:eastAsia="zh-CN"/>
        </w:rPr>
        <w:br w:type="page"/>
      </w:r>
    </w:p>
    <w:p>
      <w:pPr>
        <w:widowControl/>
        <w:spacing w:line="560" w:lineRule="exact"/>
        <w:ind w:firstLine="640" w:firstLineChars="200"/>
        <w:rPr>
          <w:rFonts w:ascii="宋体" w:hAnsi="宋体" w:cs="宋体" w:eastAsiaTheme="minorEastAsia"/>
          <w:sz w:val="30"/>
          <w:szCs w:val="30"/>
          <w:lang w:val="zh-TW" w:eastAsia="zh-CN" w:bidi="zh-TW"/>
        </w:rPr>
      </w:pPr>
      <w:r>
        <w:rPr>
          <w:rFonts w:hint="eastAsia" w:ascii="楷体_GB2312" w:hAnsi="楷体_GB2312" w:eastAsia="楷体_GB2312" w:cs="楷体_GB2312"/>
          <w:sz w:val="32"/>
          <w:szCs w:val="32"/>
          <w:lang w:eastAsia="zh-CN"/>
        </w:rPr>
        <w:t>（二）一般公共预算当年财政拨款结构情况</w:t>
      </w:r>
    </w:p>
    <w:p>
      <w:pPr>
        <w:pStyle w:val="19"/>
        <w:spacing w:line="560" w:lineRule="exact"/>
        <w:ind w:firstLine="64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文化旅游体育与传媒支出（类）933.42万元，占82.86%；社会保障和就业支出（类）135.80万元，占5.09%；住房保障支出（类）57.30万元，占12.05%。</w:t>
      </w:r>
    </w:p>
    <w:p>
      <w:pPr>
        <w:pStyle w:val="19"/>
        <w:spacing w:line="560" w:lineRule="exact"/>
        <w:ind w:firstLine="640"/>
        <w:jc w:val="both"/>
        <w:rPr>
          <w:rFonts w:ascii="仿宋_GB2312" w:eastAsia="仿宋_GB2312"/>
          <w:sz w:val="32"/>
          <w:szCs w:val="32"/>
          <w:lang w:eastAsia="zh-CN"/>
        </w:rPr>
      </w:pPr>
      <w:r>
        <w:rPr>
          <w:rFonts w:hint="eastAsia" w:ascii="仿宋_GB2312" w:eastAsia="仿宋_GB2312"/>
          <w:sz w:val="32"/>
          <w:szCs w:val="32"/>
          <w:lang w:eastAsia="zh-CN"/>
        </w:rPr>
        <w:drawing>
          <wp:anchor distT="0" distB="0" distL="114300" distR="114300" simplePos="0" relativeHeight="251660288" behindDoc="0" locked="0" layoutInCell="1" allowOverlap="1">
            <wp:simplePos x="0" y="0"/>
            <wp:positionH relativeFrom="page">
              <wp:posOffset>1391920</wp:posOffset>
            </wp:positionH>
            <wp:positionV relativeFrom="paragraph">
              <wp:posOffset>149225</wp:posOffset>
            </wp:positionV>
            <wp:extent cx="5172075" cy="3019425"/>
            <wp:effectExtent l="0" t="0" r="0" b="0"/>
            <wp:wrapSquare wrapText="bothSides"/>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pPr>
        <w:widowControl/>
        <w:rPr>
          <w:rFonts w:ascii="仿宋_GB2312" w:eastAsia="仿宋_GB2312"/>
          <w:sz w:val="32"/>
          <w:szCs w:val="32"/>
          <w:lang w:eastAsia="zh-CN"/>
        </w:rPr>
      </w:pPr>
      <w:r>
        <w:rPr>
          <w:rFonts w:ascii="仿宋_GB2312" w:eastAsia="仿宋_GB2312"/>
          <w:sz w:val="32"/>
          <w:szCs w:val="32"/>
          <w:lang w:eastAsia="zh-CN"/>
        </w:rPr>
        <w:br w:type="page"/>
      </w:r>
    </w:p>
    <w:p>
      <w:pPr>
        <w:widowControl/>
        <w:spacing w:line="640" w:lineRule="exact"/>
        <w:ind w:firstLine="640" w:firstLineChars="200"/>
        <w:rPr>
          <w:rFonts w:ascii="仿宋_GB2312" w:eastAsia="仿宋_GB2312"/>
          <w:sz w:val="32"/>
          <w:szCs w:val="32"/>
          <w:highlight w:val="none"/>
          <w:lang w:eastAsia="zh-CN"/>
        </w:rPr>
      </w:pPr>
      <w:r>
        <w:rPr>
          <w:rFonts w:hint="eastAsia" w:ascii="楷体_GB2312" w:hAnsi="楷体_GB2312" w:eastAsia="楷体_GB2312" w:cs="楷体_GB2312"/>
          <w:sz w:val="32"/>
          <w:szCs w:val="32"/>
          <w:highlight w:val="none"/>
          <w:lang w:eastAsia="zh-CN"/>
        </w:rPr>
        <w:t>（三）一般公共预算当年拨款具体使用情况</w:t>
      </w:r>
    </w:p>
    <w:p>
      <w:pPr>
        <w:pStyle w:val="19"/>
        <w:spacing w:line="640" w:lineRule="exact"/>
        <w:ind w:firstLine="66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eastAsia="zh-CN"/>
        </w:rPr>
        <w:t>1</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文化旅游体育与传媒支出（类）文化和旅游（款）行政运行（项）2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color w:val="auto"/>
          <w:sz w:val="32"/>
          <w:szCs w:val="32"/>
          <w:highlight w:val="none"/>
          <w:lang w:val="en-US" w:eastAsia="zh-CN"/>
        </w:rPr>
        <w:t>319.60</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2023年执行数减少1.38万元</w:t>
      </w:r>
      <w:r>
        <w:rPr>
          <w:rFonts w:hint="eastAsia" w:ascii="仿宋_GB2312" w:eastAsia="仿宋_GB2312"/>
          <w:sz w:val="32"/>
          <w:szCs w:val="32"/>
          <w:highlight w:val="none"/>
          <w:lang w:eastAsia="zh-CN"/>
        </w:rPr>
        <w:t>。主要原因：行政在职人员减少</w:t>
      </w:r>
      <w:r>
        <w:rPr>
          <w:rFonts w:hint="eastAsia" w:ascii="仿宋_GB2312" w:eastAsia="仿宋_GB2312"/>
          <w:sz w:val="32"/>
          <w:szCs w:val="32"/>
          <w:highlight w:val="none"/>
          <w:lang w:val="en-US" w:eastAsia="zh-CN"/>
        </w:rPr>
        <w:t>1人</w:t>
      </w:r>
      <w:r>
        <w:rPr>
          <w:rFonts w:hint="eastAsia" w:ascii="仿宋_GB2312" w:eastAsia="仿宋_GB2312"/>
          <w:sz w:val="32"/>
          <w:szCs w:val="32"/>
          <w:highlight w:val="none"/>
          <w:lang w:eastAsia="zh-CN"/>
        </w:rPr>
        <w:t>，相关支出减少。</w:t>
      </w:r>
    </w:p>
    <w:p>
      <w:pPr>
        <w:pStyle w:val="19"/>
        <w:spacing w:line="640" w:lineRule="exact"/>
        <w:ind w:firstLine="66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文化旅游体育与传媒支出（类）文化和旅游（款）一般行政管理事务（项）2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color w:val="auto"/>
          <w:sz w:val="32"/>
          <w:szCs w:val="32"/>
          <w:highlight w:val="none"/>
          <w:lang w:val="en-US" w:eastAsia="zh-CN"/>
        </w:rPr>
        <w:t>0</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2023年执行数减少92.94万元</w:t>
      </w:r>
      <w:r>
        <w:rPr>
          <w:rFonts w:hint="eastAsia" w:ascii="仿宋_GB2312" w:eastAsia="仿宋_GB2312"/>
          <w:sz w:val="32"/>
          <w:szCs w:val="32"/>
          <w:highlight w:val="none"/>
          <w:lang w:eastAsia="zh-CN"/>
        </w:rPr>
        <w:t>。主要原因：本年没有此项拨款。</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文化旅游体育与传媒支出（类）文化和旅游（款）文化活动（项）2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145</w:t>
      </w:r>
      <w:r>
        <w:rPr>
          <w:rFonts w:hint="eastAsia" w:ascii="仿宋_GB2312" w:eastAsia="仿宋_GB2312"/>
          <w:sz w:val="32"/>
          <w:szCs w:val="32"/>
          <w:highlight w:val="none"/>
          <w:lang w:eastAsia="zh-CN"/>
        </w:rPr>
        <w:t>万元，与</w:t>
      </w:r>
      <w:r>
        <w:rPr>
          <w:rFonts w:hint="eastAsia" w:ascii="仿宋_GB2312" w:eastAsia="仿宋_GB2312"/>
          <w:sz w:val="32"/>
          <w:szCs w:val="32"/>
          <w:highlight w:val="none"/>
          <w:lang w:val="en-US" w:eastAsia="zh-CN"/>
        </w:rPr>
        <w:t>2023年执行数相同</w:t>
      </w:r>
      <w:r>
        <w:rPr>
          <w:rFonts w:hint="eastAsia" w:ascii="仿宋_GB2312" w:eastAsia="仿宋_GB2312"/>
          <w:sz w:val="32"/>
          <w:szCs w:val="32"/>
          <w:highlight w:val="none"/>
          <w:lang w:eastAsia="zh-CN"/>
        </w:rPr>
        <w:t>。</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文化旅游体育与传媒支出（类）文化和旅游（款）文化和旅游交流与合作（项）2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110</w:t>
      </w:r>
      <w:r>
        <w:rPr>
          <w:rFonts w:hint="eastAsia" w:ascii="仿宋_GB2312" w:eastAsia="仿宋_GB2312"/>
          <w:sz w:val="32"/>
          <w:szCs w:val="32"/>
          <w:highlight w:val="none"/>
          <w:lang w:eastAsia="zh-CN"/>
        </w:rPr>
        <w:t>万元，与</w:t>
      </w:r>
      <w:r>
        <w:rPr>
          <w:rFonts w:hint="eastAsia" w:ascii="仿宋_GB2312" w:eastAsia="仿宋_GB2312"/>
          <w:sz w:val="32"/>
          <w:szCs w:val="32"/>
          <w:highlight w:val="none"/>
          <w:lang w:val="en-US" w:eastAsia="zh-CN"/>
        </w:rPr>
        <w:t>2023年执行数相同</w:t>
      </w:r>
      <w:r>
        <w:rPr>
          <w:rFonts w:hint="eastAsia" w:ascii="仿宋_GB2312" w:eastAsia="仿宋_GB2312"/>
          <w:sz w:val="32"/>
          <w:szCs w:val="32"/>
          <w:highlight w:val="none"/>
          <w:lang w:eastAsia="zh-CN"/>
        </w:rPr>
        <w:t>。</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文化旅游体育与传媒支出（类）文化和旅游（款）其他文化和旅游支出（项）2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358.82</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2023年执行数增加56.22万元</w:t>
      </w:r>
      <w:r>
        <w:rPr>
          <w:rFonts w:hint="eastAsia" w:ascii="仿宋_GB2312" w:eastAsia="仿宋_GB2312"/>
          <w:sz w:val="32"/>
          <w:szCs w:val="32"/>
          <w:highlight w:val="none"/>
          <w:lang w:eastAsia="zh-CN"/>
        </w:rPr>
        <w:t>。主要原因：事业在职人员增加</w:t>
      </w:r>
      <w:r>
        <w:rPr>
          <w:rFonts w:hint="eastAsia" w:ascii="仿宋_GB2312" w:eastAsia="仿宋_GB2312"/>
          <w:sz w:val="32"/>
          <w:szCs w:val="32"/>
          <w:highlight w:val="none"/>
          <w:lang w:val="en-US" w:eastAsia="zh-CN"/>
        </w:rPr>
        <w:t>3人</w:t>
      </w:r>
      <w:r>
        <w:rPr>
          <w:rFonts w:hint="eastAsia" w:ascii="仿宋_GB2312" w:eastAsia="仿宋_GB2312"/>
          <w:sz w:val="32"/>
          <w:szCs w:val="32"/>
          <w:highlight w:val="none"/>
          <w:lang w:eastAsia="zh-CN"/>
        </w:rPr>
        <w:t>，相关经费增加。</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社会保障和就业支出（类）行政事业单位养老支出（款）行政单位离退休（项）2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24.04</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2023年执行数增加13.85万元</w:t>
      </w:r>
      <w:r>
        <w:rPr>
          <w:rFonts w:hint="eastAsia" w:ascii="仿宋_GB2312" w:eastAsia="仿宋_GB2312"/>
          <w:sz w:val="32"/>
          <w:szCs w:val="32"/>
          <w:highlight w:val="none"/>
          <w:lang w:eastAsia="zh-CN"/>
        </w:rPr>
        <w:t>。主要原因是预算中包含抚恤金，上年没有相关支出。</w:t>
      </w:r>
    </w:p>
    <w:p>
      <w:pPr>
        <w:pStyle w:val="19"/>
        <w:spacing w:line="640" w:lineRule="exact"/>
        <w:ind w:firstLine="660"/>
        <w:jc w:val="both"/>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7</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社会保障和就业支出（类）行政事业单位养老支出（款）事业单位离退休（项）2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13.66</w:t>
      </w:r>
      <w:r>
        <w:rPr>
          <w:rFonts w:hint="eastAsia" w:ascii="仿宋_GB2312" w:eastAsia="仿宋_GB2312"/>
          <w:sz w:val="32"/>
          <w:szCs w:val="32"/>
          <w:highlight w:val="none"/>
          <w:lang w:eastAsia="zh-CN"/>
        </w:rPr>
        <w:t>万元，与</w:t>
      </w:r>
      <w:r>
        <w:rPr>
          <w:rFonts w:hint="eastAsia" w:ascii="仿宋_GB2312" w:eastAsia="仿宋_GB2312"/>
          <w:sz w:val="32"/>
          <w:szCs w:val="32"/>
          <w:highlight w:val="none"/>
          <w:lang w:val="en-US" w:eastAsia="zh-CN"/>
        </w:rPr>
        <w:t>2023年执行数持平</w:t>
      </w:r>
      <w:r>
        <w:rPr>
          <w:rFonts w:hint="eastAsia" w:ascii="仿宋_GB2312" w:eastAsia="仿宋_GB2312"/>
          <w:sz w:val="32"/>
          <w:szCs w:val="32"/>
          <w:highlight w:val="none"/>
          <w:lang w:eastAsia="zh-CN"/>
        </w:rPr>
        <w:t>。</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社会保障和就业支出（类）行政事业单位养老支出（款）机关事业单位基本养老保险缴费支出（项）2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62.30</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2023年执行数减少17.09万元</w:t>
      </w:r>
      <w:r>
        <w:rPr>
          <w:rFonts w:hint="eastAsia" w:ascii="仿宋_GB2312" w:eastAsia="仿宋_GB2312"/>
          <w:sz w:val="32"/>
          <w:szCs w:val="32"/>
          <w:highlight w:val="none"/>
          <w:lang w:eastAsia="zh-CN"/>
        </w:rPr>
        <w:t>。主要原因：按照过紧日子要求，压减相关经费。</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9</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社会保障和就业支出（类）行政事业单位养老支出（款）机关事业单位职业年金缴费支出（项）2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35.80</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2023年执行数减少3.90万元</w:t>
      </w:r>
      <w:r>
        <w:rPr>
          <w:rFonts w:hint="eastAsia" w:ascii="仿宋_GB2312" w:eastAsia="仿宋_GB2312"/>
          <w:sz w:val="32"/>
          <w:szCs w:val="32"/>
          <w:highlight w:val="none"/>
          <w:lang w:eastAsia="zh-CN"/>
        </w:rPr>
        <w:t>。主要原因：按照过紧日子要求，压减相关经费。</w:t>
      </w:r>
    </w:p>
    <w:p>
      <w:pPr>
        <w:pStyle w:val="19"/>
        <w:spacing w:line="640" w:lineRule="exact"/>
        <w:ind w:firstLine="660"/>
        <w:jc w:val="both"/>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10</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卫生健康支出（类）行政事业单位医疗（款）行政单位医疗（项）2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0</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2023年执行数减少8.21万元</w:t>
      </w:r>
      <w:r>
        <w:rPr>
          <w:rFonts w:hint="eastAsia" w:ascii="仿宋_GB2312" w:eastAsia="仿宋_GB2312"/>
          <w:sz w:val="32"/>
          <w:szCs w:val="32"/>
          <w:highlight w:val="none"/>
          <w:lang w:eastAsia="zh-CN"/>
        </w:rPr>
        <w:t>。主要原因：按照过紧日子要求，压减相关经费。</w:t>
      </w:r>
    </w:p>
    <w:p>
      <w:pPr>
        <w:pStyle w:val="19"/>
        <w:spacing w:line="640" w:lineRule="exact"/>
        <w:ind w:firstLine="660"/>
        <w:jc w:val="both"/>
        <w:rPr>
          <w:rFonts w:ascii="仿宋_GB2312" w:eastAsia="仿宋_GB2312"/>
          <w:sz w:val="32"/>
          <w:szCs w:val="32"/>
          <w:highlight w:val="none"/>
          <w:lang w:eastAsia="zh-CN"/>
        </w:rPr>
      </w:pPr>
      <w:r>
        <w:rPr>
          <w:rFonts w:hint="eastAsia" w:ascii="仿宋_GB2312" w:eastAsia="仿宋_GB2312"/>
          <w:sz w:val="32"/>
          <w:szCs w:val="32"/>
          <w:highlight w:val="none"/>
          <w:lang w:val="en-US" w:eastAsia="zh-CN"/>
        </w:rPr>
        <w:t>11</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住房保障支出（类）住房改革支出（款）住房公积金（项）2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33.38</w:t>
      </w:r>
      <w:r>
        <w:rPr>
          <w:rFonts w:hint="eastAsia" w:ascii="仿宋_GB2312" w:eastAsia="仿宋_GB2312"/>
          <w:sz w:val="32"/>
          <w:szCs w:val="32"/>
          <w:highlight w:val="none"/>
          <w:lang w:eastAsia="zh-CN"/>
        </w:rPr>
        <w:t>万元，比</w:t>
      </w:r>
      <w:r>
        <w:rPr>
          <w:rFonts w:hint="eastAsia" w:ascii="仿宋_GB2312" w:eastAsia="仿宋_GB2312"/>
          <w:sz w:val="32"/>
          <w:szCs w:val="32"/>
          <w:highlight w:val="none"/>
          <w:lang w:val="en-US" w:eastAsia="zh-CN"/>
        </w:rPr>
        <w:t>2023年执行数增加5.86万元</w:t>
      </w:r>
      <w:r>
        <w:rPr>
          <w:rFonts w:hint="eastAsia" w:ascii="仿宋_GB2312" w:eastAsia="仿宋_GB2312"/>
          <w:sz w:val="32"/>
          <w:szCs w:val="32"/>
          <w:highlight w:val="none"/>
          <w:lang w:eastAsia="zh-CN"/>
        </w:rPr>
        <w:t>。主要原因：在职人员增加，经费相应增加。</w:t>
      </w:r>
    </w:p>
    <w:p>
      <w:pPr>
        <w:pStyle w:val="19"/>
        <w:spacing w:line="640" w:lineRule="exact"/>
        <w:ind w:firstLine="660"/>
        <w:jc w:val="both"/>
        <w:rPr>
          <w:rFonts w:hint="default" w:ascii="仿宋_GB2312" w:eastAsia="仿宋_GB2312"/>
          <w:sz w:val="32"/>
          <w:szCs w:val="32"/>
          <w:highlight w:val="none"/>
          <w:lang w:val="en-US" w:eastAsia="zh-CN"/>
        </w:rPr>
      </w:pPr>
      <w:r>
        <w:rPr>
          <w:rFonts w:hint="eastAsia" w:ascii="仿宋_GB2312" w:eastAsia="仿宋_GB2312"/>
          <w:sz w:val="32"/>
          <w:szCs w:val="32"/>
          <w:highlight w:val="none"/>
          <w:lang w:eastAsia="zh-CN"/>
        </w:rPr>
        <w:t>1</w:t>
      </w:r>
      <w:r>
        <w:rPr>
          <w:rFonts w:hint="eastAsia" w:ascii="仿宋_GB2312" w:eastAsia="仿宋_GB2312"/>
          <w:sz w:val="32"/>
          <w:szCs w:val="32"/>
          <w:highlight w:val="none"/>
          <w:lang w:val="en-US" w:eastAsia="zh-CN"/>
        </w:rPr>
        <w:t>2</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住房保障支出（类）住房改革支出（款）提租补贴（项）2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6.15</w:t>
      </w:r>
      <w:r>
        <w:rPr>
          <w:rFonts w:hint="eastAsia" w:ascii="仿宋_GB2312" w:eastAsia="仿宋_GB2312"/>
          <w:sz w:val="32"/>
          <w:szCs w:val="32"/>
          <w:highlight w:val="none"/>
          <w:lang w:eastAsia="zh-CN"/>
        </w:rPr>
        <w:t>万元，与</w:t>
      </w:r>
      <w:r>
        <w:rPr>
          <w:rFonts w:hint="eastAsia" w:ascii="仿宋_GB2312" w:eastAsia="仿宋_GB2312"/>
          <w:sz w:val="32"/>
          <w:szCs w:val="32"/>
          <w:highlight w:val="none"/>
          <w:lang w:val="en-US" w:eastAsia="zh-CN"/>
        </w:rPr>
        <w:t>2023年执行数持平</w:t>
      </w:r>
      <w:r>
        <w:rPr>
          <w:rFonts w:hint="eastAsia" w:ascii="仿宋_GB2312" w:eastAsia="仿宋_GB2312"/>
          <w:sz w:val="32"/>
          <w:szCs w:val="32"/>
          <w:highlight w:val="none"/>
          <w:lang w:eastAsia="zh-CN"/>
        </w:rPr>
        <w:t>。</w:t>
      </w:r>
    </w:p>
    <w:p>
      <w:pPr>
        <w:pStyle w:val="19"/>
        <w:spacing w:line="640" w:lineRule="exact"/>
        <w:ind w:firstLine="660"/>
        <w:jc w:val="both"/>
        <w:rPr>
          <w:rFonts w:hint="default" w:ascii="仿宋_GB2312" w:eastAsia="仿宋_GB2312"/>
          <w:sz w:val="32"/>
          <w:szCs w:val="32"/>
          <w:highlight w:val="none"/>
          <w:lang w:val="en-US"/>
        </w:rPr>
      </w:pPr>
      <w:r>
        <w:rPr>
          <w:rFonts w:hint="eastAsia" w:ascii="仿宋_GB2312" w:eastAsia="仿宋_GB2312"/>
          <w:sz w:val="32"/>
          <w:szCs w:val="32"/>
          <w:highlight w:val="none"/>
          <w:lang w:eastAsia="zh-CN"/>
        </w:rPr>
        <w:t>1</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住房保障支出（类）住房改革支出（款）购房补贴（项）2</w:t>
      </w:r>
      <w:r>
        <w:rPr>
          <w:rFonts w:hint="eastAsia" w:ascii="仿宋_GB2312" w:eastAsia="仿宋_GB2312"/>
          <w:sz w:val="32"/>
          <w:szCs w:val="32"/>
          <w:highlight w:val="none"/>
        </w:rPr>
        <w:t>02</w:t>
      </w:r>
      <w:r>
        <w:rPr>
          <w:rFonts w:hint="eastAsia" w:ascii="仿宋_GB2312" w:eastAsia="仿宋_GB2312"/>
          <w:sz w:val="32"/>
          <w:szCs w:val="32"/>
          <w:highlight w:val="none"/>
          <w:lang w:val="en-US" w:eastAsia="zh-CN"/>
        </w:rPr>
        <w:t>4</w:t>
      </w:r>
      <w:r>
        <w:rPr>
          <w:rFonts w:hint="eastAsia" w:ascii="仿宋_GB2312" w:eastAsia="仿宋_GB2312"/>
          <w:sz w:val="32"/>
          <w:szCs w:val="32"/>
          <w:highlight w:val="none"/>
          <w:lang w:eastAsia="zh-CN"/>
        </w:rPr>
        <w:t>年预算为</w:t>
      </w:r>
      <w:r>
        <w:rPr>
          <w:rFonts w:hint="eastAsia" w:ascii="仿宋_GB2312" w:eastAsia="仿宋_GB2312"/>
          <w:sz w:val="32"/>
          <w:szCs w:val="32"/>
          <w:highlight w:val="none"/>
          <w:lang w:val="en-US" w:eastAsia="zh-CN"/>
        </w:rPr>
        <w:t>17.77</w:t>
      </w:r>
      <w:r>
        <w:rPr>
          <w:rFonts w:hint="eastAsia" w:ascii="仿宋_GB2312" w:eastAsia="仿宋_GB2312"/>
          <w:sz w:val="32"/>
          <w:szCs w:val="32"/>
          <w:highlight w:val="none"/>
          <w:lang w:eastAsia="zh-CN"/>
        </w:rPr>
        <w:t>万元，与</w:t>
      </w:r>
      <w:r>
        <w:rPr>
          <w:rFonts w:hint="eastAsia" w:ascii="仿宋_GB2312" w:eastAsia="仿宋_GB2312"/>
          <w:sz w:val="32"/>
          <w:szCs w:val="32"/>
          <w:highlight w:val="none"/>
          <w:lang w:val="en-US" w:eastAsia="zh-CN"/>
        </w:rPr>
        <w:t>2023年执行数</w:t>
      </w:r>
      <w:r>
        <w:rPr>
          <w:rFonts w:hint="eastAsia" w:ascii="仿宋_GB2312" w:eastAsia="仿宋_GB2312"/>
          <w:sz w:val="32"/>
          <w:szCs w:val="32"/>
          <w:highlight w:val="none"/>
          <w:lang w:eastAsia="zh-CN"/>
        </w:rPr>
        <w:t>持平</w:t>
      </w:r>
      <w:r>
        <w:rPr>
          <w:rFonts w:hint="eastAsia" w:ascii="仿宋_GB2312" w:eastAsia="仿宋_GB2312"/>
          <w:sz w:val="32"/>
          <w:szCs w:val="32"/>
          <w:highlight w:val="none"/>
          <w:lang w:val="en-US" w:eastAsia="zh-CN"/>
        </w:rPr>
        <w:t>。</w:t>
      </w:r>
    </w:p>
    <w:p>
      <w:pPr>
        <w:widowControl/>
        <w:rPr>
          <w:rFonts w:ascii="仿宋_GB2312" w:hAnsi="宋体" w:eastAsia="PMingLiU" w:cs="宋体"/>
          <w:sz w:val="32"/>
          <w:szCs w:val="32"/>
          <w:lang w:val="zh-TW" w:eastAsia="zh-CN" w:bidi="zh-TW"/>
        </w:rPr>
      </w:pPr>
    </w:p>
    <w:p>
      <w:pPr>
        <w:widowControl/>
        <w:ind w:firstLine="640" w:firstLineChars="200"/>
        <w:rPr>
          <w:rFonts w:ascii="黑体" w:hAnsi="黑体" w:eastAsia="黑体" w:cs="黑体"/>
          <w:sz w:val="32"/>
          <w:szCs w:val="32"/>
          <w:lang w:val="zh-TW" w:eastAsia="zh-TW" w:bidi="zh-TW"/>
        </w:rPr>
      </w:pPr>
      <w:r>
        <w:rPr>
          <w:rFonts w:ascii="黑体" w:hAnsi="黑体" w:eastAsia="黑体" w:cs="黑体"/>
          <w:sz w:val="32"/>
          <w:szCs w:val="32"/>
          <w:lang w:eastAsia="zh-CN"/>
        </w:rPr>
        <w:br w:type="page"/>
      </w:r>
      <w:r>
        <w:rPr>
          <w:rFonts w:hint="eastAsia" w:ascii="黑体" w:hAnsi="黑体" w:eastAsia="黑体" w:cs="黑体"/>
          <w:sz w:val="32"/>
          <w:szCs w:val="32"/>
          <w:lang w:eastAsia="zh-CN"/>
        </w:rPr>
        <w:t>六、关于</w:t>
      </w:r>
      <w:r>
        <w:rPr>
          <w:rFonts w:hint="eastAsia" w:ascii="黑体" w:hAnsi="黑体" w:eastAsia="黑体" w:cs="黑体"/>
          <w:sz w:val="32"/>
          <w:szCs w:val="32"/>
          <w:lang w:val="en-US" w:eastAsia="zh-CN"/>
        </w:rPr>
        <w:t>2024年</w:t>
      </w:r>
      <w:r>
        <w:rPr>
          <w:rFonts w:hint="eastAsia" w:ascii="黑体" w:hAnsi="黑体" w:eastAsia="黑体" w:cs="黑体"/>
          <w:sz w:val="32"/>
          <w:szCs w:val="32"/>
          <w:lang w:eastAsia="zh-CN"/>
        </w:rPr>
        <w:t>一般公共预算基本支出情况说明</w:t>
      </w:r>
    </w:p>
    <w:p>
      <w:pPr>
        <w:pStyle w:val="19"/>
        <w:spacing w:line="560" w:lineRule="exact"/>
        <w:ind w:firstLine="660"/>
        <w:jc w:val="both"/>
        <w:rPr>
          <w:rFonts w:ascii="仿宋_GB2312" w:eastAsia="仿宋_GB2312"/>
          <w:sz w:val="32"/>
          <w:szCs w:val="32"/>
          <w:highlight w:val="none"/>
          <w:lang w:eastAsia="zh-CN"/>
        </w:rPr>
      </w:pPr>
      <w:r>
        <w:rPr>
          <w:rFonts w:hint="eastAsia" w:ascii="仿宋_GB2312" w:eastAsia="仿宋_GB2312"/>
          <w:sz w:val="32"/>
          <w:szCs w:val="32"/>
          <w:lang w:val="en-US" w:eastAsia="zh-CN"/>
        </w:rPr>
        <w:t>2024年</w:t>
      </w:r>
      <w:r>
        <w:rPr>
          <w:rFonts w:hint="eastAsia" w:ascii="仿宋_GB2312" w:eastAsia="仿宋_GB2312"/>
          <w:sz w:val="32"/>
          <w:szCs w:val="32"/>
          <w:lang w:eastAsia="zh-CN"/>
        </w:rPr>
        <w:t>一般公共预算基本支</w:t>
      </w:r>
      <w:r>
        <w:rPr>
          <w:rFonts w:hint="eastAsia" w:ascii="仿宋_GB2312" w:eastAsia="仿宋_GB2312"/>
          <w:sz w:val="32"/>
          <w:szCs w:val="32"/>
          <w:highlight w:val="none"/>
          <w:lang w:eastAsia="zh-CN"/>
        </w:rPr>
        <w:t>出</w:t>
      </w:r>
      <w:r>
        <w:rPr>
          <w:rFonts w:hint="eastAsia" w:ascii="仿宋_GB2312" w:eastAsia="仿宋_GB2312"/>
          <w:sz w:val="32"/>
          <w:szCs w:val="32"/>
          <w:highlight w:val="none"/>
          <w:lang w:val="en-US" w:eastAsia="zh-CN"/>
        </w:rPr>
        <w:t>871.52</w:t>
      </w:r>
      <w:r>
        <w:rPr>
          <w:rFonts w:hint="eastAsia" w:ascii="仿宋_GB2312" w:eastAsia="仿宋_GB2312"/>
          <w:sz w:val="32"/>
          <w:szCs w:val="32"/>
          <w:highlight w:val="none"/>
          <w:lang w:eastAsia="zh-CN"/>
        </w:rPr>
        <w:t>万元，其中：</w:t>
      </w:r>
    </w:p>
    <w:p>
      <w:pPr>
        <w:pStyle w:val="19"/>
        <w:spacing w:line="560" w:lineRule="exact"/>
        <w:ind w:firstLine="660"/>
        <w:jc w:val="both"/>
        <w:rPr>
          <w:rFonts w:ascii="仿宋_GB2312" w:eastAsia="仿宋_GB2312"/>
          <w:sz w:val="32"/>
          <w:szCs w:val="32"/>
          <w:lang w:eastAsia="zh-CN"/>
        </w:rPr>
      </w:pPr>
      <w:r>
        <w:rPr>
          <w:rFonts w:hint="eastAsia" w:ascii="仿宋_GB2312" w:eastAsia="仿宋_GB2312"/>
          <w:sz w:val="32"/>
          <w:szCs w:val="32"/>
          <w:highlight w:val="none"/>
          <w:lang w:eastAsia="zh-CN"/>
        </w:rPr>
        <w:t>人员经费</w:t>
      </w:r>
      <w:r>
        <w:rPr>
          <w:rFonts w:hint="eastAsia" w:ascii="仿宋_GB2312" w:eastAsia="仿宋_GB2312"/>
          <w:sz w:val="32"/>
          <w:szCs w:val="32"/>
          <w:highlight w:val="none"/>
          <w:lang w:val="en-US" w:eastAsia="zh-CN"/>
        </w:rPr>
        <w:t>693.03</w:t>
      </w:r>
      <w:r>
        <w:rPr>
          <w:rFonts w:hint="eastAsia" w:ascii="仿宋_GB2312" w:eastAsia="仿宋_GB2312"/>
          <w:sz w:val="32"/>
          <w:szCs w:val="32"/>
          <w:highlight w:val="none"/>
          <w:lang w:eastAsia="zh-CN"/>
        </w:rPr>
        <w:t>万元，主要包括：基本工</w:t>
      </w:r>
      <w:r>
        <w:rPr>
          <w:rFonts w:hint="eastAsia" w:ascii="仿宋_GB2312" w:eastAsia="仿宋_GB2312"/>
          <w:sz w:val="32"/>
          <w:szCs w:val="32"/>
          <w:lang w:eastAsia="zh-CN"/>
        </w:rPr>
        <w:t>资、津贴补贴</w:t>
      </w:r>
      <w:r>
        <w:rPr>
          <w:rFonts w:hint="eastAsia" w:ascii="仿宋_GB2312" w:eastAsia="仿宋_GB2312" w:hAnsiTheme="minorEastAsia"/>
          <w:sz w:val="32"/>
          <w:szCs w:val="32"/>
          <w:lang w:eastAsia="zh-CN"/>
        </w:rPr>
        <w:t>、</w:t>
      </w:r>
      <w:r>
        <w:rPr>
          <w:rFonts w:hint="eastAsia" w:ascii="仿宋_GB2312" w:eastAsia="仿宋_GB2312"/>
          <w:sz w:val="32"/>
          <w:szCs w:val="32"/>
          <w:lang w:eastAsia="zh-CN"/>
        </w:rPr>
        <w:t>奖金、绩效工资、机关事业单位基本养老保险缴费、职业年金缴费、住房公积金、医疗费、离休费、退休费、医疗费补助、其他对个人和家庭的补助；</w:t>
      </w:r>
    </w:p>
    <w:p>
      <w:pPr>
        <w:widowControl/>
        <w:spacing w:line="560" w:lineRule="exact"/>
        <w:ind w:firstLine="640" w:firstLineChars="200"/>
        <w:jc w:val="both"/>
        <w:rPr>
          <w:rFonts w:ascii="仿宋_GB2312" w:eastAsia="仿宋_GB2312"/>
          <w:sz w:val="32"/>
          <w:szCs w:val="32"/>
          <w:lang w:eastAsia="zh-CN"/>
        </w:rPr>
      </w:pPr>
      <w:r>
        <w:rPr>
          <w:rFonts w:hint="eastAsia" w:ascii="仿宋_GB2312" w:eastAsia="仿宋_GB2312"/>
          <w:sz w:val="32"/>
          <w:szCs w:val="32"/>
          <w:lang w:eastAsia="zh-CN"/>
        </w:rPr>
        <w:t>日常公用经费</w:t>
      </w:r>
      <w:r>
        <w:rPr>
          <w:rFonts w:hint="eastAsia" w:ascii="仿宋_GB2312" w:eastAsia="仿宋_GB2312"/>
          <w:sz w:val="32"/>
          <w:szCs w:val="32"/>
          <w:lang w:val="en-US" w:eastAsia="zh-CN"/>
        </w:rPr>
        <w:t>178.49</w:t>
      </w:r>
      <w:r>
        <w:rPr>
          <w:rFonts w:hint="eastAsia" w:ascii="仿宋_GB2312" w:eastAsia="仿宋_GB2312"/>
          <w:sz w:val="32"/>
          <w:szCs w:val="32"/>
          <w:lang w:eastAsia="zh-CN"/>
        </w:rPr>
        <w:t>万元，主要包括：办公费、印刷费、咨询费、手续费、水费、电费、邮电费、取暖费、物业管理费、差旅费、维修（护）费、租赁费、公务接待费、委托业务费、工会经费、其他交通费用、其他商品和服务支出、办公设备购置。</w:t>
      </w:r>
    </w:p>
    <w:p>
      <w:pPr>
        <w:widowControl/>
        <w:spacing w:line="560" w:lineRule="exact"/>
        <w:jc w:val="both"/>
        <w:rPr>
          <w:rFonts w:ascii="仿宋_GB2312" w:eastAsia="仿宋_GB2312"/>
          <w:sz w:val="32"/>
          <w:szCs w:val="32"/>
          <w:lang w:eastAsia="zh-CN"/>
        </w:rPr>
      </w:pPr>
      <w:r>
        <w:rPr>
          <w:rFonts w:ascii="仿宋_GB2312" w:eastAsia="仿宋_GB2312"/>
          <w:sz w:val="32"/>
          <w:szCs w:val="32"/>
          <w:lang w:eastAsia="zh-CN"/>
        </w:rPr>
        <w:drawing>
          <wp:anchor distT="0" distB="0" distL="114300" distR="114300" simplePos="0" relativeHeight="251663360" behindDoc="0" locked="0" layoutInCell="1" allowOverlap="1">
            <wp:simplePos x="0" y="0"/>
            <wp:positionH relativeFrom="page">
              <wp:align>center</wp:align>
            </wp:positionH>
            <wp:positionV relativeFrom="paragraph">
              <wp:posOffset>285750</wp:posOffset>
            </wp:positionV>
            <wp:extent cx="5067300" cy="2943225"/>
            <wp:effectExtent l="0" t="0" r="0" b="0"/>
            <wp:wrapSquare wrapText="bothSides"/>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p>
    <w:p>
      <w:pPr>
        <w:widowControl/>
        <w:rPr>
          <w:rFonts w:ascii="仿宋_GB2312" w:eastAsia="仿宋_GB2312"/>
          <w:sz w:val="32"/>
          <w:szCs w:val="32"/>
          <w:lang w:eastAsia="zh-CN"/>
        </w:rPr>
      </w:pPr>
      <w:r>
        <w:rPr>
          <w:rFonts w:ascii="仿宋_GB2312" w:eastAsia="仿宋_GB2312"/>
          <w:sz w:val="32"/>
          <w:szCs w:val="32"/>
          <w:lang w:eastAsia="zh-CN"/>
        </w:rPr>
        <w:br w:type="page"/>
      </w:r>
    </w:p>
    <w:p>
      <w:pPr>
        <w:pStyle w:val="19"/>
        <w:numPr>
          <w:ilvl w:val="0"/>
          <w:numId w:val="0"/>
        </w:numPr>
        <w:spacing w:line="632" w:lineRule="exact"/>
        <w:ind w:leftChars="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七、</w:t>
      </w:r>
      <w:r>
        <w:rPr>
          <w:rFonts w:hint="eastAsia" w:ascii="黑体" w:hAnsi="黑体" w:eastAsia="黑体" w:cs="黑体"/>
          <w:sz w:val="32"/>
          <w:szCs w:val="32"/>
        </w:rPr>
        <w:t>关于</w:t>
      </w:r>
      <w:r>
        <w:rPr>
          <w:rFonts w:hint="eastAsia" w:ascii="黑体" w:hAnsi="黑体" w:eastAsia="黑体" w:cs="黑体"/>
          <w:sz w:val="32"/>
          <w:szCs w:val="32"/>
          <w:lang w:eastAsia="zh-CN"/>
        </w:rPr>
        <w:t>“三公”经费预算情况的说明</w:t>
      </w:r>
    </w:p>
    <w:p>
      <w:pPr>
        <w:pStyle w:val="19"/>
        <w:numPr>
          <w:ilvl w:val="0"/>
          <w:numId w:val="0"/>
        </w:numPr>
        <w:spacing w:line="632" w:lineRule="exact"/>
        <w:ind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w:t>
      </w:r>
      <w:r>
        <w:rPr>
          <w:rFonts w:hint="eastAsia" w:ascii="仿宋_GB2312" w:eastAsia="仿宋_GB2312"/>
          <w:sz w:val="32"/>
          <w:szCs w:val="32"/>
          <w:lang w:eastAsia="zh-CN"/>
        </w:rPr>
        <w:t>“三公”经费预算数为</w:t>
      </w:r>
      <w:r>
        <w:rPr>
          <w:rFonts w:hint="eastAsia" w:ascii="仿宋_GB2312" w:eastAsia="仿宋_GB2312"/>
          <w:sz w:val="32"/>
          <w:szCs w:val="32"/>
          <w:lang w:val="en-US" w:eastAsia="zh-CN"/>
        </w:rPr>
        <w:t>0.5万元。因公出国（境）费预算数为0万元，公务用车购置及运行费预算数为0万元，公务接待费预算数为0.5万元。2024年“三公”经费预算与2023年持平。</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pStyle w:val="19"/>
        <w:numPr>
          <w:ilvl w:val="0"/>
          <w:numId w:val="0"/>
        </w:numPr>
        <w:spacing w:line="632" w:lineRule="exact"/>
        <w:ind w:leftChars="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w:t>
      </w:r>
      <w:r>
        <w:rPr>
          <w:rFonts w:hint="eastAsia" w:ascii="黑体" w:hAnsi="黑体" w:eastAsia="黑体" w:cs="黑体"/>
          <w:sz w:val="32"/>
          <w:szCs w:val="32"/>
          <w:lang w:eastAsia="zh-CN"/>
        </w:rPr>
        <w:t>八、关于政府性基金预算支出情况的说明</w:t>
      </w:r>
    </w:p>
    <w:p>
      <w:pPr>
        <w:pStyle w:val="19"/>
        <w:numPr>
          <w:ilvl w:val="0"/>
          <w:numId w:val="0"/>
        </w:numPr>
        <w:spacing w:line="632" w:lineRule="exact"/>
        <w:ind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2024年无使用政府性基金预算拨款安排的支出。</w:t>
      </w:r>
    </w:p>
    <w:p>
      <w:pPr>
        <w:rPr>
          <w:rFonts w:hint="eastAsia" w:ascii="仿宋_GB2312" w:eastAsia="仿宋_GB2312"/>
          <w:sz w:val="32"/>
          <w:szCs w:val="32"/>
          <w:lang w:val="en-US" w:eastAsia="zh-CN"/>
        </w:rPr>
      </w:pPr>
      <w:r>
        <w:rPr>
          <w:rFonts w:hint="eastAsia" w:ascii="仿宋_GB2312" w:eastAsia="仿宋_GB2312"/>
          <w:sz w:val="32"/>
          <w:szCs w:val="32"/>
          <w:lang w:val="en-US" w:eastAsia="zh-CN"/>
        </w:rPr>
        <w:br w:type="page"/>
      </w:r>
    </w:p>
    <w:p>
      <w:pPr>
        <w:pStyle w:val="19"/>
        <w:numPr>
          <w:ilvl w:val="0"/>
          <w:numId w:val="0"/>
        </w:numPr>
        <w:spacing w:line="632" w:lineRule="exact"/>
        <w:ind w:leftChars="0"/>
        <w:jc w:val="both"/>
        <w:rPr>
          <w:rFonts w:hint="eastAsia" w:ascii="黑体" w:hAnsi="黑体" w:eastAsia="黑体" w:cs="黑体"/>
          <w:sz w:val="32"/>
          <w:szCs w:val="32"/>
          <w:lang w:eastAsia="zh-CN"/>
        </w:rPr>
      </w:pPr>
      <w:r>
        <w:rPr>
          <w:rFonts w:hint="eastAsia" w:ascii="黑体" w:hAnsi="黑体" w:eastAsia="黑体" w:cs="黑体"/>
          <w:sz w:val="32"/>
          <w:szCs w:val="32"/>
          <w:lang w:val="en-US" w:eastAsia="zh-CN"/>
        </w:rPr>
        <w:t xml:space="preserve">    九</w:t>
      </w:r>
      <w:r>
        <w:rPr>
          <w:rFonts w:hint="eastAsia" w:ascii="黑体" w:hAnsi="黑体" w:eastAsia="黑体" w:cs="黑体"/>
          <w:sz w:val="32"/>
          <w:szCs w:val="32"/>
          <w:lang w:eastAsia="zh-CN"/>
        </w:rPr>
        <w:t>、关于国有资本经营预算情况的说明</w:t>
      </w:r>
    </w:p>
    <w:p>
      <w:pPr>
        <w:pStyle w:val="19"/>
        <w:numPr>
          <w:ilvl w:val="0"/>
          <w:numId w:val="0"/>
        </w:numPr>
        <w:spacing w:line="632" w:lineRule="exact"/>
        <w:ind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2024年无使用国有资本经营预算拨款安排的支出。</w:t>
      </w:r>
    </w:p>
    <w:p>
      <w:pPr>
        <w:pStyle w:val="19"/>
        <w:numPr>
          <w:ilvl w:val="0"/>
          <w:numId w:val="0"/>
        </w:numPr>
        <w:spacing w:line="632" w:lineRule="exact"/>
        <w:ind w:leftChars="0" w:firstLine="640" w:firstLineChars="200"/>
        <w:jc w:val="both"/>
        <w:rPr>
          <w:rFonts w:hint="eastAsia" w:ascii="仿宋_GB2312" w:eastAsia="仿宋_GB2312"/>
          <w:sz w:val="32"/>
          <w:szCs w:val="32"/>
          <w:lang w:val="en-US" w:eastAsia="zh-CN"/>
        </w:rPr>
      </w:pPr>
    </w:p>
    <w:p>
      <w:pPr>
        <w:rPr>
          <w:rFonts w:hint="default" w:ascii="黑体" w:hAnsi="黑体" w:eastAsia="黑体" w:cs="黑体"/>
          <w:sz w:val="32"/>
          <w:szCs w:val="32"/>
          <w:lang w:val="en-US" w:eastAsia="zh-CN"/>
        </w:rPr>
      </w:pPr>
      <w:r>
        <w:rPr>
          <w:rFonts w:hint="eastAsia" w:ascii="仿宋_GB2312" w:eastAsia="仿宋_GB2312"/>
          <w:sz w:val="32"/>
          <w:szCs w:val="32"/>
          <w:lang w:val="en-US" w:eastAsia="zh-CN"/>
        </w:rPr>
        <w:br w:type="page"/>
      </w:r>
      <w:r>
        <w:rPr>
          <w:rFonts w:hint="eastAsia" w:ascii="仿宋_GB2312" w:eastAsia="仿宋_GB2312"/>
          <w:sz w:val="32"/>
          <w:szCs w:val="32"/>
          <w:lang w:val="en-US" w:eastAsia="zh-CN"/>
        </w:rPr>
        <w:t xml:space="preserve">    </w:t>
      </w:r>
      <w:r>
        <w:rPr>
          <w:rFonts w:hint="eastAsia" w:ascii="黑体" w:hAnsi="黑体" w:eastAsia="黑体" w:cs="黑体"/>
          <w:sz w:val="32"/>
          <w:szCs w:val="32"/>
          <w:lang w:val="en-US" w:eastAsia="zh-CN"/>
        </w:rPr>
        <w:t>十</w:t>
      </w:r>
      <w:r>
        <w:rPr>
          <w:rFonts w:hint="eastAsia" w:ascii="黑体" w:hAnsi="黑体" w:eastAsia="黑体" w:cs="黑体"/>
          <w:sz w:val="32"/>
          <w:szCs w:val="32"/>
          <w:lang w:eastAsia="zh-CN"/>
        </w:rPr>
        <w:t>、其他重要事项情况的说明</w:t>
      </w:r>
    </w:p>
    <w:p>
      <w:pPr>
        <w:pStyle w:val="19"/>
        <w:numPr>
          <w:ilvl w:val="0"/>
          <w:numId w:val="0"/>
        </w:numPr>
        <w:spacing w:line="632" w:lineRule="exact"/>
        <w:ind w:leftChars="0" w:firstLine="642"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（一）机关运行经费</w:t>
      </w:r>
    </w:p>
    <w:p>
      <w:pPr>
        <w:pStyle w:val="19"/>
        <w:numPr>
          <w:ilvl w:val="0"/>
          <w:numId w:val="0"/>
        </w:numPr>
        <w:spacing w:line="632" w:lineRule="exact"/>
        <w:ind w:leftChars="0" w:firstLine="640" w:firstLineChars="20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2024年机关运行经费财政拨款预算118.06万元，较2023年预算增加8.29万元。主要原因：在职人员增加，相关经费相应增加。</w:t>
      </w:r>
    </w:p>
    <w:p>
      <w:pPr>
        <w:pStyle w:val="19"/>
        <w:numPr>
          <w:ilvl w:val="0"/>
          <w:numId w:val="0"/>
        </w:numPr>
        <w:spacing w:line="632" w:lineRule="exact"/>
        <w:ind w:leftChars="0" w:firstLine="642" w:firstLine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（二）政府采购情况</w:t>
      </w:r>
    </w:p>
    <w:p>
      <w:pPr>
        <w:pStyle w:val="19"/>
        <w:numPr>
          <w:ilvl w:val="0"/>
          <w:numId w:val="0"/>
        </w:numPr>
        <w:spacing w:line="632" w:lineRule="exact"/>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2024年政府采购预算总额285.39万元，同比减少33.19万元。主要原因：按照过紧日子要求，压减相关支出。其中政府采购货物预算64.52万元，政府采购服务预算220.87万元。</w:t>
      </w:r>
    </w:p>
    <w:p>
      <w:pPr>
        <w:pStyle w:val="19"/>
        <w:numPr>
          <w:ilvl w:val="0"/>
          <w:numId w:val="0"/>
        </w:numPr>
        <w:spacing w:line="632" w:lineRule="exact"/>
        <w:ind w:left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（三）国有资产占有使用情况</w:t>
      </w:r>
    </w:p>
    <w:p>
      <w:pPr>
        <w:pStyle w:val="19"/>
        <w:numPr>
          <w:ilvl w:val="0"/>
          <w:numId w:val="0"/>
        </w:numPr>
        <w:spacing w:line="632" w:lineRule="exact"/>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截止2023年8月31日，单位有车辆0辆；单位价值50万元以上通用设备0台（套）；单位价值100万元以上专用设备0台（套）。</w:t>
      </w:r>
    </w:p>
    <w:p>
      <w:pPr>
        <w:pStyle w:val="19"/>
        <w:numPr>
          <w:ilvl w:val="0"/>
          <w:numId w:val="0"/>
        </w:numPr>
        <w:spacing w:line="632" w:lineRule="exact"/>
        <w:ind w:firstLine="640"/>
        <w:jc w:val="both"/>
        <w:rPr>
          <w:rFonts w:hint="eastAsia" w:ascii="仿宋_GB2312" w:eastAsia="仿宋_GB2312"/>
          <w:sz w:val="32"/>
          <w:szCs w:val="32"/>
          <w:lang w:val="en-US" w:eastAsia="zh-CN"/>
        </w:rPr>
      </w:pPr>
      <w:r>
        <w:rPr>
          <w:rFonts w:hint="eastAsia" w:ascii="仿宋_GB2312" w:eastAsia="仿宋_GB2312"/>
          <w:sz w:val="32"/>
          <w:szCs w:val="32"/>
          <w:lang w:val="en-US" w:eastAsia="zh-CN"/>
        </w:rPr>
        <w:t>2024年部门预算未安排购置车辆；未安排购置单价50万元及以上的通用设备；未安排购置单价100万元及以上的专用设备。</w:t>
      </w:r>
    </w:p>
    <w:p>
      <w:pPr>
        <w:pStyle w:val="19"/>
        <w:numPr>
          <w:ilvl w:val="0"/>
          <w:numId w:val="0"/>
        </w:numPr>
        <w:spacing w:line="632" w:lineRule="exact"/>
        <w:ind w:leftChars="200"/>
        <w:jc w:val="both"/>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（四）预算绩效情况</w:t>
      </w:r>
    </w:p>
    <w:p>
      <w:pPr>
        <w:pStyle w:val="19"/>
        <w:numPr>
          <w:ilvl w:val="0"/>
          <w:numId w:val="0"/>
        </w:numPr>
        <w:spacing w:line="632" w:lineRule="exact"/>
        <w:ind w:firstLine="640"/>
        <w:jc w:val="both"/>
        <w:rPr>
          <w:rFonts w:hint="eastAsia" w:ascii="仿宋_GB2312" w:hAnsi="仿宋_GB2312" w:eastAsia="仿宋_GB2312" w:cs="仿宋_GB2312"/>
          <w:sz w:val="32"/>
          <w:szCs w:val="32"/>
          <w:lang w:val="en-US" w:eastAsia="zh-CN"/>
        </w:rPr>
      </w:pPr>
      <w:r>
        <w:rPr>
          <w:rFonts w:hint="eastAsia" w:ascii="仿宋_GB2312" w:eastAsia="仿宋_GB2312"/>
          <w:sz w:val="32"/>
          <w:szCs w:val="32"/>
          <w:lang w:val="en-US" w:eastAsia="zh-CN"/>
        </w:rPr>
        <w:t>2024年对项目支持全面实施绩效目标管理，其中一般公共预算拨款255万元，分别是海峡两岸电视艺术节、小康电视节目工程。根据以前年度绩效评价结果，优化项目支出预算安排，并进一步改进管理</w:t>
      </w:r>
      <w:r>
        <w:rPr>
          <w:rFonts w:hint="eastAsia" w:ascii="仿宋_GB2312" w:hAnsi="仿宋_GB2312" w:eastAsia="仿宋_GB2312" w:cs="仿宋_GB2312"/>
          <w:sz w:val="32"/>
          <w:szCs w:val="32"/>
          <w:lang w:val="en-US" w:eastAsia="zh-CN"/>
        </w:rPr>
        <w:t>、完善政策。</w:t>
      </w:r>
    </w:p>
    <w:p>
      <w:pPr>
        <w:pStyle w:val="19"/>
        <w:numPr>
          <w:ilvl w:val="0"/>
          <w:numId w:val="0"/>
        </w:numPr>
        <w:spacing w:line="632" w:lineRule="exact"/>
        <w:ind w:firstLine="640"/>
        <w:jc w:val="both"/>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2024年项目绩效目标表如下：</w:t>
      </w:r>
    </w:p>
    <w:p>
      <w:pPr>
        <w:rPr>
          <w:rFonts w:hint="default" w:ascii="仿宋_GB2312" w:eastAsia="仿宋_GB2312"/>
          <w:b/>
          <w:bCs/>
          <w:sz w:val="32"/>
          <w:szCs w:val="32"/>
          <w:lang w:val="en-US" w:eastAsia="zh-CN"/>
        </w:rPr>
      </w:pPr>
    </w:p>
    <w:p>
      <w:pP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br w:type="page"/>
      </w:r>
    </w:p>
    <w:tbl>
      <w:tblPr>
        <w:tblStyle w:val="11"/>
        <w:tblpPr w:leftFromText="180" w:rightFromText="180" w:vertAnchor="text" w:horzAnchor="page" w:tblpX="1509" w:tblpY="374"/>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64"/>
        <w:gridCol w:w="2199"/>
        <w:gridCol w:w="1443"/>
        <w:gridCol w:w="1753"/>
        <w:gridCol w:w="955"/>
        <w:gridCol w:w="624"/>
        <w:gridCol w:w="866"/>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8"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项目支出绩效目标申报表（生成表）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7"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3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56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海峡两岸电视艺术节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27" w:hRule="atLeast"/>
        </w:trPr>
        <w:tc>
          <w:tcPr>
            <w:tcW w:w="143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172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中国文学艺术界联合会</w:t>
            </w:r>
          </w:p>
        </w:tc>
        <w:tc>
          <w:tcPr>
            <w:tcW w:w="51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33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中国电视艺术家协会本级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3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22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8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52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8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110.00</w:t>
            </w: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14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上年结转资金</w:t>
            </w:r>
          </w:p>
        </w:tc>
        <w:tc>
          <w:tcPr>
            <w:tcW w:w="8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 w:hRule="atLeast"/>
        </w:trPr>
        <w:tc>
          <w:tcPr>
            <w:tcW w:w="143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235"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80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2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474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60"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49"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目标1：完成海峡两岸电视论坛。</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目标2：完成海峡两岸电视作品交流。</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目标3：办好海峡两岸电视主持新秀会。</w:t>
            </w:r>
          </w:p>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目标4：办好海峡两岸网络视听人员交流。</w:t>
            </w:r>
          </w:p>
          <w:p>
            <w:pPr>
              <w:pStyle w:val="2"/>
              <w:ind w:left="0" w:leftChars="0" w:firstLine="0" w:firstLineChars="0"/>
              <w:rPr>
                <w:rFonts w:hint="eastAsia"/>
              </w:rPr>
            </w:pPr>
            <w:r>
              <w:rPr>
                <w:rFonts w:hint="eastAsia" w:ascii="宋体" w:hAnsi="宋体" w:eastAsia="宋体" w:cs="宋体"/>
                <w:i w:val="0"/>
                <w:iCs w:val="0"/>
                <w:color w:val="000000"/>
                <w:kern w:val="0"/>
                <w:sz w:val="22"/>
                <w:szCs w:val="22"/>
                <w:u w:val="none"/>
                <w:lang w:val="en-US" w:eastAsia="zh-CN" w:bidi="ar"/>
              </w:rPr>
              <w:t>为达到以上目标，在项目实施过程高标准、严要求，落实各项工作任务，确保活动顺利开展。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trPr>
        <w:tc>
          <w:tcPr>
            <w:tcW w:w="25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权重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57"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20" w:afterAutospacing="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举办海峡两岸主持新秀会（次）</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举办海峡两岸电视论坛（次）</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举办海峡两岸电视作品交流</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9"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举办海峡两岸网络视听人员交流</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＝1次</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19"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重要媒体报道（省级、央级）</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≥5次</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7"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每年活动参与度、影响力、知名度</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≥100人</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25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18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77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79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参与人员满意度</w:t>
            </w:r>
          </w:p>
        </w:tc>
        <w:tc>
          <w:tcPr>
            <w:tcW w:w="4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2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pStyle w:val="19"/>
        <w:numPr>
          <w:ilvl w:val="0"/>
          <w:numId w:val="0"/>
        </w:numPr>
        <w:spacing w:line="632" w:lineRule="exact"/>
        <w:jc w:val="both"/>
        <w:rPr>
          <w:rFonts w:hint="eastAsia" w:ascii="仿宋_GB2312" w:eastAsia="仿宋_GB2312"/>
          <w:b/>
          <w:bCs/>
          <w:sz w:val="32"/>
          <w:szCs w:val="32"/>
          <w:lang w:val="en-US" w:eastAsia="zh-CN"/>
        </w:rPr>
      </w:pPr>
    </w:p>
    <w:p>
      <w:pP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br w:type="page"/>
      </w:r>
    </w:p>
    <w:tbl>
      <w:tblPr>
        <w:tblStyle w:val="11"/>
        <w:tblW w:w="521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48"/>
        <w:gridCol w:w="1493"/>
        <w:gridCol w:w="1864"/>
        <w:gridCol w:w="1878"/>
        <w:gridCol w:w="981"/>
        <w:gridCol w:w="980"/>
        <w:gridCol w:w="890"/>
        <w:gridCol w:w="1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5"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项目支出绩效目标申报表（生成表）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394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小康电视节目工程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10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中国文学艺术界联合会</w:t>
            </w:r>
          </w:p>
        </w:tc>
        <w:tc>
          <w:tcPr>
            <w:tcW w:w="50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50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中国文联电视艺术中心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145.00</w:t>
            </w:r>
          </w:p>
        </w:tc>
        <w:tc>
          <w:tcPr>
            <w:tcW w:w="53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145.00</w:t>
            </w: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上年结转资金</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10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9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14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53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5"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4716"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27"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16"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目标1：组织全国各省电视艺术家协会联系各地电视台，每年完成150部小康电视节目工程相关主题电视作品的拍摄任务。</w:t>
            </w:r>
          </w:p>
          <w:p>
            <w:pPr>
              <w:keepNext w:val="0"/>
              <w:keepLines w:val="0"/>
              <w:widowControl/>
              <w:suppressLineNumbers w:val="0"/>
              <w:jc w:val="center"/>
              <w:textAlignment w:val="top"/>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目标2：实现全国各级电视台及网络平台联动，每年完成150部小康电视节目工程相关主题电视作品，在电视频道及网络媒体平台播出的任务。</w:t>
            </w:r>
          </w:p>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目标3：小康电视节目工程相关题材优秀电视作品在全国省市级以上电视台展播，推选出一批为对农电视宣传做出突出贡献的电视人、电视栏目和节目。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28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权重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1" w:type="pct"/>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优秀节目在全国各级电视台及网络平台展播（部）</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＝150部</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0"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1" w:type="pct"/>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播出节目达到国家广电总局播出要求比例</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4"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1" w:type="pc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效益指标</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内容的不断丰富，参与的人民群众越来越多</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≥2000人</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1" w:hRule="atLeast"/>
        </w:trPr>
        <w:tc>
          <w:tcPr>
            <w:tcW w:w="28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9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198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观众满意</w:t>
            </w:r>
          </w:p>
        </w:tc>
        <w:tc>
          <w:tcPr>
            <w:tcW w:w="45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53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br w:type="page"/>
      </w:r>
    </w:p>
    <w:p>
      <w:pPr>
        <w:pStyle w:val="2"/>
        <w:rPr>
          <w:rFonts w:hint="eastAsia"/>
          <w:lang w:val="en-US" w:eastAsia="zh-CN"/>
        </w:rPr>
      </w:pPr>
    </w:p>
    <w:tbl>
      <w:tblPr>
        <w:tblStyle w:val="11"/>
        <w:tblpPr w:leftFromText="180" w:rightFromText="180" w:vertAnchor="text" w:horzAnchor="page" w:tblpX="1460" w:tblpY="372"/>
        <w:tblOverlap w:val="neve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35"/>
        <w:gridCol w:w="1237"/>
        <w:gridCol w:w="996"/>
        <w:gridCol w:w="2732"/>
        <w:gridCol w:w="1003"/>
        <w:gridCol w:w="968"/>
        <w:gridCol w:w="910"/>
        <w:gridCol w:w="9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1" w:hRule="atLeast"/>
        </w:trPr>
        <w:tc>
          <w:tcPr>
            <w:tcW w:w="5000" w:type="pct"/>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项目支出绩效目标申报表（生成表）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5000" w:type="pct"/>
            <w:gridSpan w:val="8"/>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(2024年度)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954"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项目名称</w:t>
            </w:r>
          </w:p>
        </w:tc>
        <w:tc>
          <w:tcPr>
            <w:tcW w:w="4045"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专项工作任务经费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0" w:hRule="atLeast"/>
        </w:trPr>
        <w:tc>
          <w:tcPr>
            <w:tcW w:w="95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主管部门及代码</w:t>
            </w:r>
          </w:p>
        </w:tc>
        <w:tc>
          <w:tcPr>
            <w:tcW w:w="20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中国文学艺术界联合会</w:t>
            </w:r>
          </w:p>
        </w:tc>
        <w:tc>
          <w:tcPr>
            <w:tcW w:w="5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实施单位</w:t>
            </w:r>
          </w:p>
        </w:tc>
        <w:tc>
          <w:tcPr>
            <w:tcW w:w="149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中国电视艺术家协会本级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954"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（万元）</w:t>
            </w:r>
          </w:p>
        </w:tc>
        <w:tc>
          <w:tcPr>
            <w:tcW w:w="20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年度资金总额：</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37.92</w:t>
            </w:r>
          </w:p>
        </w:tc>
        <w:tc>
          <w:tcPr>
            <w:tcW w:w="48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执行率</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分值（10）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9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其中：财政拨款</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9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上年结转资金</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 w:hRule="atLeast"/>
        </w:trPr>
        <w:tc>
          <w:tcPr>
            <w:tcW w:w="954"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00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其他资金</w:t>
            </w:r>
          </w:p>
        </w:tc>
        <w:tc>
          <w:tcPr>
            <w:tcW w:w="1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37.92</w:t>
            </w:r>
          </w:p>
        </w:tc>
        <w:tc>
          <w:tcPr>
            <w:tcW w:w="48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3" w:hRule="atLeast"/>
        </w:trPr>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总体目标</w:t>
            </w:r>
          </w:p>
        </w:tc>
        <w:tc>
          <w:tcPr>
            <w:tcW w:w="4711"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3" w:hRule="atLeast"/>
        </w:trPr>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4711" w:type="pct"/>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为全面落实习近平总书记关于宣传思想工作和文艺工作的重要论述，全面贯彻全国宣传思想工作会议精神，坚持以人民为中心的工作导向，引导广大电视艺术工作者创作出更多表现人民大众、反映时代风貌的优秀作品，展现全面建成小康社会的光辉成果，提高国家文化整体实力，实现文化强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2" w:hRule="atLeast"/>
        </w:trPr>
        <w:tc>
          <w:tcPr>
            <w:tcW w:w="28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绩效指标</w:t>
            </w:r>
          </w:p>
        </w:tc>
        <w:tc>
          <w:tcPr>
            <w:tcW w:w="66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一级指标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二级指标</w:t>
            </w:r>
          </w:p>
        </w:tc>
        <w:tc>
          <w:tcPr>
            <w:tcW w:w="25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三级指标</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指标值</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分值</w:t>
            </w:r>
          </w:p>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权重</w:t>
            </w:r>
          </w:p>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7" w:hRule="atLeast"/>
        </w:trPr>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5"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产出指标</w:t>
            </w:r>
          </w:p>
        </w:tc>
        <w:tc>
          <w:tcPr>
            <w:tcW w:w="53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数量指标</w:t>
            </w:r>
          </w:p>
        </w:tc>
        <w:tc>
          <w:tcPr>
            <w:tcW w:w="2532"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宣传媒体</w:t>
            </w:r>
          </w:p>
        </w:tc>
        <w:tc>
          <w:tcPr>
            <w:tcW w:w="48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≥4个</w:t>
            </w:r>
          </w:p>
        </w:tc>
        <w:tc>
          <w:tcPr>
            <w:tcW w:w="487"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28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5" w:type="pct"/>
            <w:vMerge w:val="continue"/>
            <w:tcBorders>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536"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质量指标</w:t>
            </w:r>
          </w:p>
        </w:tc>
        <w:tc>
          <w:tcPr>
            <w:tcW w:w="2532" w:type="pct"/>
            <w:gridSpan w:val="3"/>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两岸嘉宾参与人数</w:t>
            </w:r>
          </w:p>
        </w:tc>
        <w:tc>
          <w:tcPr>
            <w:tcW w:w="489"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rPr>
            </w:pPr>
            <w:r>
              <w:rPr>
                <w:rFonts w:hint="eastAsia" w:ascii="宋体" w:hAnsi="宋体" w:eastAsia="宋体" w:cs="宋体"/>
                <w:i w:val="0"/>
                <w:iCs w:val="0"/>
                <w:color w:val="000000"/>
                <w:kern w:val="0"/>
                <w:sz w:val="22"/>
                <w:szCs w:val="22"/>
                <w:u w:val="none"/>
                <w:lang w:val="en-US" w:eastAsia="zh-CN" w:bidi="ar"/>
              </w:rPr>
              <w:t>≥15人</w:t>
            </w:r>
          </w:p>
        </w:tc>
        <w:tc>
          <w:tcPr>
            <w:tcW w:w="487" w:type="pct"/>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288"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5"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sz w:val="22"/>
                <w:szCs w:val="22"/>
                <w:u w:val="none"/>
                <w:lang w:eastAsia="zh-CN"/>
              </w:rPr>
              <w:t>效益指标</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社会效益指标</w:t>
            </w:r>
          </w:p>
        </w:tc>
        <w:tc>
          <w:tcPr>
            <w:tcW w:w="253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宣传人数</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2"/>
                <w:szCs w:val="22"/>
                <w:u w:val="none"/>
                <w:lang w:val="en-US" w:eastAsia="zh-CN"/>
              </w:rPr>
            </w:pPr>
            <w:r>
              <w:rPr>
                <w:rFonts w:hint="eastAsia" w:ascii="宋体" w:hAnsi="宋体" w:eastAsia="宋体" w:cs="宋体"/>
                <w:i w:val="0"/>
                <w:iCs w:val="0"/>
                <w:color w:val="000000"/>
                <w:kern w:val="0"/>
                <w:sz w:val="22"/>
                <w:szCs w:val="22"/>
                <w:u w:val="none"/>
                <w:lang w:val="en-US" w:eastAsia="zh-CN" w:bidi="ar"/>
              </w:rPr>
              <w:t>≥1000人</w:t>
            </w: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2" w:hRule="atLeast"/>
        </w:trPr>
        <w:tc>
          <w:tcPr>
            <w:tcW w:w="288"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665"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满意度指标</w:t>
            </w:r>
          </w:p>
        </w:tc>
        <w:tc>
          <w:tcPr>
            <w:tcW w:w="536"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服务对象满意度指标</w:t>
            </w:r>
          </w:p>
        </w:tc>
        <w:tc>
          <w:tcPr>
            <w:tcW w:w="2532" w:type="pct"/>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参与人员满意度</w:t>
            </w:r>
          </w:p>
        </w:tc>
        <w:tc>
          <w:tcPr>
            <w:tcW w:w="489"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≥90%</w:t>
            </w:r>
          </w:p>
        </w:tc>
        <w:tc>
          <w:tcPr>
            <w:tcW w:w="487" w:type="pc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w:t>
            </w:r>
          </w:p>
        </w:tc>
      </w:tr>
    </w:tbl>
    <w:p>
      <w:pP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br w:type="page"/>
      </w:r>
    </w:p>
    <w:p>
      <w:pPr>
        <w:rPr>
          <w:rFonts w:hint="eastAsia" w:ascii="黑体" w:hAnsi="黑体" w:eastAsia="黑体" w:cs="黑体"/>
          <w:sz w:val="44"/>
          <w:szCs w:val="44"/>
        </w:rPr>
      </w:pPr>
    </w:p>
    <w:p>
      <w:pPr>
        <w:jc w:val="center"/>
        <w:rPr>
          <w:rFonts w:hint="eastAsia" w:ascii="黑体" w:hAnsi="黑体" w:eastAsia="黑体" w:cs="黑体"/>
          <w:sz w:val="44"/>
          <w:szCs w:val="44"/>
        </w:rPr>
      </w:pPr>
      <w:r>
        <w:rPr>
          <w:rFonts w:hint="eastAsia" w:ascii="黑体" w:hAnsi="黑体" w:eastAsia="黑体" w:cs="黑体"/>
          <w:sz w:val="44"/>
          <w:szCs w:val="44"/>
        </w:rPr>
        <w:t>第四部分：专业名词解释</w:t>
      </w:r>
    </w:p>
    <w:p>
      <w:pPr>
        <w:pStyle w:val="19"/>
        <w:spacing w:line="560" w:lineRule="exact"/>
        <w:ind w:firstLine="0"/>
        <w:rPr>
          <w:rFonts w:ascii="楷体_GB2312" w:eastAsia="楷体_GB2312"/>
          <w:sz w:val="32"/>
          <w:szCs w:val="32"/>
          <w:lang w:eastAsia="zh-CN"/>
        </w:rPr>
      </w:pP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lang w:eastAsia="zh-CN"/>
        </w:rPr>
        <w:t>（一）</w:t>
      </w:r>
      <w:r>
        <w:rPr>
          <w:rFonts w:hint="eastAsia" w:ascii="楷体_GB2312" w:eastAsia="楷体_GB2312"/>
          <w:b/>
          <w:bCs/>
          <w:sz w:val="32"/>
          <w:szCs w:val="32"/>
        </w:rPr>
        <w:t>一般公共预算财政拨款收入：</w:t>
      </w:r>
      <w:r>
        <w:rPr>
          <w:rFonts w:hint="eastAsia" w:ascii="楷体_GB2312" w:eastAsia="楷体_GB2312"/>
          <w:sz w:val="32"/>
          <w:szCs w:val="32"/>
        </w:rPr>
        <w:t>指中央财政当年拨付的资金。</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（二）事业收入：</w:t>
      </w:r>
      <w:r>
        <w:rPr>
          <w:rFonts w:hint="eastAsia" w:ascii="楷体_GB2312" w:eastAsia="楷体_GB2312"/>
          <w:sz w:val="32"/>
          <w:szCs w:val="32"/>
        </w:rPr>
        <w:t>指事业单位开展专业业务活动及辅助活动所取得的收入。</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（三）经营收入：</w:t>
      </w:r>
      <w:r>
        <w:rPr>
          <w:rFonts w:hint="eastAsia" w:ascii="楷体_GB2312" w:eastAsia="楷体_GB2312"/>
          <w:sz w:val="32"/>
          <w:szCs w:val="32"/>
        </w:rPr>
        <w:t>指事业单位在专业业务活动及其辅助活动之外开展非独立核算经营活动取得的收入。</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（四）其他收入：</w:t>
      </w:r>
      <w:r>
        <w:rPr>
          <w:rFonts w:hint="eastAsia" w:ascii="楷体_GB2312" w:eastAsia="楷体_GB2312"/>
          <w:sz w:val="32"/>
          <w:szCs w:val="32"/>
        </w:rPr>
        <w:t xml:space="preserve">指除上述一般公共预算财政拨款收入、事业收入、经营收入等以外的收入。主要是按规定动用的售房收入、存款利息收入等。 </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（五）使用非财政拨款结余：</w:t>
      </w:r>
      <w:r>
        <w:rPr>
          <w:rFonts w:hint="eastAsia" w:ascii="楷体_GB2312" w:eastAsia="楷体_GB2312"/>
          <w:sz w:val="32"/>
          <w:szCs w:val="32"/>
        </w:rPr>
        <w:t>指事业单位使用以前年度积累的非财政拨款结余弥补当年收支差额的金额。</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（六）</w:t>
      </w:r>
      <w:r>
        <w:rPr>
          <w:rFonts w:hint="eastAsia" w:ascii="楷体_GB2312" w:eastAsia="楷体_GB2312"/>
          <w:b/>
          <w:bCs/>
          <w:sz w:val="32"/>
          <w:szCs w:val="32"/>
          <w:lang w:eastAsia="zh-CN"/>
        </w:rPr>
        <w:t>上年结转</w:t>
      </w:r>
      <w:r>
        <w:rPr>
          <w:rFonts w:hint="eastAsia" w:ascii="楷体_GB2312" w:eastAsia="楷体_GB2312"/>
          <w:b/>
          <w:bCs/>
          <w:sz w:val="32"/>
          <w:szCs w:val="32"/>
        </w:rPr>
        <w:t>：</w:t>
      </w:r>
      <w:r>
        <w:rPr>
          <w:rFonts w:hint="eastAsia" w:ascii="楷体_GB2312" w:eastAsia="楷体_GB2312"/>
          <w:sz w:val="32"/>
          <w:szCs w:val="32"/>
        </w:rPr>
        <w:t>指以前年度安排、结转到本年仍按原规定用途继续使用的资金。</w:t>
      </w:r>
    </w:p>
    <w:p>
      <w:pPr>
        <w:pStyle w:val="19"/>
        <w:spacing w:line="560" w:lineRule="exact"/>
        <w:ind w:firstLine="642" w:firstLineChars="200"/>
        <w:jc w:val="both"/>
        <w:rPr>
          <w:rFonts w:ascii="楷体_GB2312" w:eastAsia="楷体_GB2312"/>
          <w:sz w:val="32"/>
          <w:szCs w:val="32"/>
        </w:rPr>
      </w:pPr>
      <w:r>
        <w:rPr>
          <w:rFonts w:hint="eastAsia" w:ascii="楷体_GB2312" w:eastAsia="楷体_GB2312"/>
          <w:b/>
          <w:bCs/>
          <w:sz w:val="32"/>
          <w:szCs w:val="32"/>
        </w:rPr>
        <w:t>（七）文化旅游体育与传媒（类）文化和旅游（款）：</w:t>
      </w:r>
      <w:r>
        <w:rPr>
          <w:rFonts w:hint="eastAsia" w:ascii="楷体_GB2312" w:eastAsia="楷体_GB2312"/>
          <w:sz w:val="32"/>
          <w:szCs w:val="32"/>
        </w:rPr>
        <w:t>指用于文化艺术活动等方面的支出。</w:t>
      </w:r>
    </w:p>
    <w:p>
      <w:pPr>
        <w:pStyle w:val="19"/>
        <w:spacing w:line="560" w:lineRule="exact"/>
        <w:ind w:firstLine="642" w:firstLineChars="200"/>
        <w:jc w:val="both"/>
        <w:rPr>
          <w:rFonts w:ascii="仿宋_GB2312" w:eastAsia="PMingLiU"/>
          <w:sz w:val="32"/>
          <w:szCs w:val="32"/>
        </w:rPr>
      </w:pPr>
      <w:r>
        <w:rPr>
          <w:rFonts w:hint="eastAsia" w:ascii="仿宋_GB2312" w:eastAsia="仿宋_GB2312"/>
          <w:b/>
          <w:bCs/>
          <w:sz w:val="32"/>
          <w:szCs w:val="32"/>
          <w:lang w:val="en-US" w:eastAsia="zh-CN"/>
        </w:rPr>
        <w:t>1、</w:t>
      </w:r>
      <w:r>
        <w:rPr>
          <w:rFonts w:hint="eastAsia" w:ascii="仿宋_GB2312" w:eastAsia="仿宋_GB2312"/>
          <w:b/>
          <w:bCs/>
          <w:sz w:val="32"/>
          <w:szCs w:val="32"/>
        </w:rPr>
        <w:t>行政运行（项）：</w:t>
      </w:r>
      <w:r>
        <w:rPr>
          <w:rFonts w:hint="eastAsia" w:ascii="仿宋_GB2312" w:eastAsia="仿宋_GB2312"/>
          <w:sz w:val="32"/>
          <w:szCs w:val="32"/>
        </w:rPr>
        <w:t>指行政单位用于保障机构正常运行、开展日常工作的基本支出。</w:t>
      </w:r>
    </w:p>
    <w:p>
      <w:pPr>
        <w:pStyle w:val="19"/>
        <w:spacing w:line="560" w:lineRule="exact"/>
        <w:ind w:firstLine="645"/>
        <w:jc w:val="both"/>
        <w:rPr>
          <w:rFonts w:ascii="仿宋_GB2312" w:eastAsia="仿宋_GB2312"/>
          <w:sz w:val="32"/>
          <w:szCs w:val="32"/>
          <w:lang w:eastAsia="zh-CN"/>
        </w:rPr>
      </w:pPr>
      <w:r>
        <w:rPr>
          <w:rFonts w:hint="eastAsia" w:ascii="仿宋_GB2312" w:eastAsia="仿宋_GB2312"/>
          <w:b/>
          <w:bCs/>
          <w:sz w:val="32"/>
          <w:szCs w:val="32"/>
          <w:lang w:val="en-US" w:eastAsia="zh-CN"/>
        </w:rPr>
        <w:t>2、</w:t>
      </w:r>
      <w:r>
        <w:rPr>
          <w:rFonts w:hint="eastAsia" w:ascii="仿宋_GB2312" w:eastAsia="仿宋_GB2312"/>
          <w:b/>
          <w:bCs/>
          <w:sz w:val="32"/>
          <w:szCs w:val="32"/>
        </w:rPr>
        <w:t>一般行政管理事务（项）：</w:t>
      </w:r>
      <w:r>
        <w:rPr>
          <w:rFonts w:hint="eastAsia" w:ascii="仿宋_GB2312" w:eastAsia="仿宋_GB2312"/>
          <w:sz w:val="32"/>
          <w:szCs w:val="32"/>
        </w:rPr>
        <w:t>指行政单位未单独设置项级科目的其他项目</w:t>
      </w:r>
      <w:r>
        <w:rPr>
          <w:rFonts w:hint="eastAsia" w:ascii="仿宋_GB2312" w:eastAsia="仿宋_GB2312"/>
          <w:sz w:val="32"/>
          <w:szCs w:val="32"/>
          <w:lang w:eastAsia="zh-CN"/>
        </w:rPr>
        <w:t>支出。</w:t>
      </w:r>
    </w:p>
    <w:p>
      <w:pPr>
        <w:pStyle w:val="19"/>
        <w:spacing w:line="560" w:lineRule="exact"/>
        <w:ind w:firstLine="645"/>
        <w:jc w:val="both"/>
        <w:rPr>
          <w:rFonts w:ascii="仿宋_GB2312" w:eastAsia="PMingLiU"/>
          <w:sz w:val="32"/>
          <w:szCs w:val="32"/>
        </w:rPr>
      </w:pPr>
      <w:r>
        <w:rPr>
          <w:rFonts w:hint="eastAsia" w:ascii="仿宋_GB2312" w:eastAsia="仿宋_GB2312"/>
          <w:b/>
          <w:bCs/>
          <w:sz w:val="32"/>
          <w:szCs w:val="32"/>
          <w:lang w:val="en-US" w:eastAsia="zh-CN"/>
        </w:rPr>
        <w:t>3、</w:t>
      </w:r>
      <w:r>
        <w:rPr>
          <w:rFonts w:hint="eastAsia" w:ascii="仿宋_GB2312" w:eastAsia="仿宋_GB2312"/>
          <w:b/>
          <w:bCs/>
          <w:sz w:val="32"/>
          <w:szCs w:val="32"/>
        </w:rPr>
        <w:t>文化活动（项）：</w:t>
      </w:r>
      <w:r>
        <w:rPr>
          <w:rFonts w:hint="eastAsia" w:ascii="仿宋_GB2312" w:eastAsia="仿宋_GB2312"/>
          <w:sz w:val="32"/>
          <w:szCs w:val="32"/>
        </w:rPr>
        <w:t>指举办大型文化艺术活动的支出。</w:t>
      </w:r>
    </w:p>
    <w:p>
      <w:pPr>
        <w:pStyle w:val="19"/>
        <w:tabs>
          <w:tab w:val="left" w:pos="1574"/>
        </w:tabs>
        <w:spacing w:line="560" w:lineRule="exact"/>
        <w:ind w:firstLine="642" w:firstLineChars="200"/>
        <w:jc w:val="both"/>
        <w:rPr>
          <w:rFonts w:ascii="仿宋_GB2312" w:eastAsia="仿宋_GB2312"/>
          <w:sz w:val="32"/>
          <w:szCs w:val="32"/>
        </w:rPr>
      </w:pPr>
      <w:r>
        <w:rPr>
          <w:rFonts w:hint="eastAsia" w:ascii="仿宋_GB2312" w:eastAsia="仿宋_GB2312"/>
          <w:b/>
          <w:bCs/>
          <w:sz w:val="32"/>
          <w:szCs w:val="32"/>
          <w:lang w:val="en-US" w:eastAsia="zh-CN"/>
        </w:rPr>
        <w:t>4</w:t>
      </w:r>
      <w:r>
        <w:rPr>
          <w:rFonts w:hint="eastAsia" w:ascii="仿宋_GB2312" w:eastAsia="仿宋_GB2312"/>
          <w:b/>
          <w:bCs/>
          <w:sz w:val="32"/>
          <w:szCs w:val="32"/>
        </w:rPr>
        <w:t>、文化和旅游交流与合作（项）：</w:t>
      </w:r>
      <w:r>
        <w:rPr>
          <w:rFonts w:hint="eastAsia" w:ascii="仿宋_GB2312" w:eastAsia="仿宋_GB2312"/>
          <w:sz w:val="32"/>
          <w:szCs w:val="32"/>
        </w:rPr>
        <w:t>指对外文化交流合作活动的支出。</w:t>
      </w:r>
    </w:p>
    <w:p>
      <w:pPr>
        <w:pStyle w:val="19"/>
        <w:tabs>
          <w:tab w:val="left" w:pos="1574"/>
        </w:tabs>
        <w:spacing w:line="560" w:lineRule="exact"/>
        <w:ind w:firstLine="642" w:firstLineChars="200"/>
        <w:jc w:val="both"/>
        <w:rPr>
          <w:rFonts w:ascii="仿宋_GB2312" w:eastAsia="仿宋_GB2312"/>
          <w:sz w:val="32"/>
          <w:szCs w:val="32"/>
        </w:rPr>
      </w:pPr>
      <w:r>
        <w:rPr>
          <w:rFonts w:hint="eastAsia" w:ascii="仿宋_GB2312" w:eastAsia="仿宋_GB2312"/>
          <w:b/>
          <w:bCs/>
          <w:sz w:val="32"/>
          <w:szCs w:val="32"/>
          <w:lang w:val="en-US" w:eastAsia="zh-CN"/>
        </w:rPr>
        <w:t>5</w:t>
      </w:r>
      <w:r>
        <w:rPr>
          <w:rFonts w:hint="eastAsia" w:ascii="仿宋_GB2312" w:eastAsia="仿宋_GB2312"/>
          <w:b/>
          <w:bCs/>
          <w:sz w:val="32"/>
          <w:szCs w:val="32"/>
        </w:rPr>
        <w:t>、其他文化和旅游支出（项）：</w:t>
      </w:r>
      <w:r>
        <w:rPr>
          <w:rFonts w:hint="eastAsia" w:ascii="仿宋_GB2312" w:eastAsia="仿宋_GB2312"/>
          <w:sz w:val="32"/>
          <w:szCs w:val="32"/>
        </w:rPr>
        <w:t>指除上述项目以外其他用于文化方面的支出。</w:t>
      </w:r>
    </w:p>
    <w:p>
      <w:pPr>
        <w:pStyle w:val="19"/>
        <w:spacing w:line="560" w:lineRule="exact"/>
        <w:ind w:firstLine="642" w:firstLineChars="200"/>
        <w:jc w:val="both"/>
        <w:rPr>
          <w:rFonts w:hint="eastAsia" w:ascii="楷体_GB2312" w:eastAsia="楷体_GB2312"/>
          <w:b/>
          <w:bCs/>
          <w:sz w:val="32"/>
          <w:szCs w:val="32"/>
        </w:rPr>
      </w:pPr>
      <w:r>
        <w:rPr>
          <w:rFonts w:hint="eastAsia" w:ascii="楷体_GB2312" w:eastAsia="楷体_GB2312"/>
          <w:b/>
          <w:bCs/>
          <w:sz w:val="32"/>
          <w:szCs w:val="32"/>
        </w:rPr>
        <w:t>（八）社会保障和就业（类）行政事业单位</w:t>
      </w:r>
      <w:r>
        <w:rPr>
          <w:rFonts w:hint="eastAsia" w:ascii="楷体_GB2312" w:eastAsia="楷体_GB2312"/>
          <w:b/>
          <w:bCs/>
          <w:sz w:val="32"/>
          <w:szCs w:val="32"/>
          <w:lang w:eastAsia="zh-CN"/>
        </w:rPr>
        <w:t>养老支出</w:t>
      </w:r>
      <w:r>
        <w:rPr>
          <w:rFonts w:hint="eastAsia" w:ascii="楷体_GB2312" w:eastAsia="楷体_GB2312"/>
          <w:b/>
          <w:bCs/>
          <w:sz w:val="32"/>
          <w:szCs w:val="32"/>
        </w:rPr>
        <w:t>（款）</w:t>
      </w:r>
    </w:p>
    <w:p>
      <w:pPr>
        <w:pStyle w:val="19"/>
        <w:spacing w:line="56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行政单位离退休（项）：</w:t>
      </w:r>
      <w:r>
        <w:rPr>
          <w:rFonts w:hint="eastAsia" w:ascii="仿宋_GB2312" w:hAnsi="仿宋_GB2312" w:eastAsia="仿宋_GB2312" w:cs="仿宋_GB2312"/>
          <w:sz w:val="32"/>
          <w:szCs w:val="32"/>
        </w:rPr>
        <w:t>指用于离退休人员的支出。</w:t>
      </w:r>
    </w:p>
    <w:p>
      <w:pPr>
        <w:pStyle w:val="19"/>
        <w:spacing w:line="56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事业</w:t>
      </w:r>
      <w:r>
        <w:rPr>
          <w:rFonts w:hint="eastAsia" w:ascii="仿宋_GB2312" w:hAnsi="仿宋_GB2312" w:eastAsia="仿宋_GB2312" w:cs="仿宋_GB2312"/>
          <w:b/>
          <w:bCs/>
          <w:sz w:val="32"/>
          <w:szCs w:val="32"/>
        </w:rPr>
        <w:t>单位离退休（项）：</w:t>
      </w:r>
      <w:r>
        <w:rPr>
          <w:rFonts w:hint="eastAsia" w:ascii="仿宋_GB2312" w:hAnsi="仿宋_GB2312" w:eastAsia="仿宋_GB2312" w:cs="仿宋_GB2312"/>
          <w:sz w:val="32"/>
          <w:szCs w:val="32"/>
        </w:rPr>
        <w:t>指用于离退休人员的支出。</w:t>
      </w:r>
    </w:p>
    <w:p>
      <w:pPr>
        <w:pStyle w:val="19"/>
        <w:spacing w:line="56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机关事业单位基本养老保险缴费支出（项）：</w:t>
      </w:r>
      <w:r>
        <w:rPr>
          <w:rFonts w:hint="eastAsia" w:ascii="仿宋_GB2312" w:hAnsi="仿宋_GB2312" w:eastAsia="仿宋_GB2312" w:cs="仿宋_GB2312"/>
          <w:sz w:val="32"/>
          <w:szCs w:val="32"/>
        </w:rPr>
        <w:t>指机关事业单位实施养老保险制度由单位缴纳的基本养老保险费支出。</w:t>
      </w:r>
    </w:p>
    <w:p>
      <w:pPr>
        <w:pStyle w:val="19"/>
        <w:spacing w:line="560" w:lineRule="exact"/>
        <w:ind w:firstLine="642"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机关事业单位职业年金缴费支出（项）：</w:t>
      </w:r>
      <w:r>
        <w:rPr>
          <w:rFonts w:hint="eastAsia" w:ascii="仿宋_GB2312" w:hAnsi="仿宋_GB2312" w:eastAsia="仿宋_GB2312" w:cs="仿宋_GB2312"/>
          <w:sz w:val="32"/>
          <w:szCs w:val="32"/>
        </w:rPr>
        <w:t>指机关事业单位实施养老保险制度由单位缴纳的职业年金支出。</w:t>
      </w:r>
    </w:p>
    <w:p>
      <w:pPr>
        <w:pStyle w:val="19"/>
        <w:spacing w:line="560" w:lineRule="exact"/>
        <w:ind w:firstLine="642" w:firstLineChars="200"/>
        <w:jc w:val="both"/>
        <w:rPr>
          <w:rFonts w:hint="eastAsia" w:ascii="仿宋_GB2312" w:eastAsia="仿宋_GB2312"/>
          <w:sz w:val="32"/>
          <w:szCs w:val="32"/>
        </w:rPr>
      </w:pPr>
      <w:r>
        <w:rPr>
          <w:rFonts w:hint="eastAsia" w:ascii="楷体_GB2312" w:eastAsia="楷体_GB2312"/>
          <w:b/>
          <w:bCs/>
          <w:sz w:val="32"/>
          <w:szCs w:val="32"/>
        </w:rPr>
        <w:t>（</w:t>
      </w:r>
      <w:r>
        <w:rPr>
          <w:rFonts w:hint="eastAsia" w:ascii="楷体_GB2312" w:eastAsia="楷体_GB2312"/>
          <w:b/>
          <w:bCs/>
          <w:sz w:val="32"/>
          <w:szCs w:val="32"/>
          <w:lang w:eastAsia="zh-CN"/>
        </w:rPr>
        <w:t>九</w:t>
      </w:r>
      <w:r>
        <w:rPr>
          <w:rFonts w:hint="eastAsia" w:ascii="楷体_GB2312" w:eastAsia="楷体_GB2312"/>
          <w:b/>
          <w:bCs/>
          <w:sz w:val="32"/>
          <w:szCs w:val="32"/>
        </w:rPr>
        <w:t>）住房保障支出（类）住房改革支出（款）：</w:t>
      </w:r>
      <w:r>
        <w:rPr>
          <w:rFonts w:hint="eastAsia" w:ascii="仿宋_GB2312" w:eastAsia="仿宋_GB2312"/>
          <w:sz w:val="32"/>
          <w:szCs w:val="32"/>
        </w:rPr>
        <w:t>指按照国家政策规定用于住房改革方面的支出。</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1、住房公积金（项）：</w:t>
      </w:r>
      <w:r>
        <w:rPr>
          <w:rFonts w:hint="eastAsia" w:ascii="仿宋_GB2312" w:hAnsi="仿宋_GB2312" w:eastAsia="仿宋_GB2312" w:cs="仿宋_GB2312"/>
          <w:sz w:val="32"/>
          <w:szCs w:val="32"/>
          <w:lang w:val="en-US" w:eastAsia="zh-CN"/>
        </w:rPr>
        <w:t>指按照《住房公积金管理条例》的规定，由单位及其在职职工缴存的长期住房储金。该项政策始于上世纪九十年代中期，在全国机关、企事业单位在职职工中普遍实施，缴存比例最低不低于5.00%,最高不超过12.00%,缴存基数为职工本人上年工资，目前已实施近20年时间。行政单位缴存基数包括国家统一规定的公务员职务工资、级别工资、机关工人岗位工资和技术等级（职务）工资、年终一次性奖金、特殊岗位津贴、艰苦边远地区津贴，规范后发放的工作性津贴、生活性补贴等；事业单位缴存基数包括国家统一规定的岗位工资、薪级工资、绩效工资、艰苦边远地区津贴、特殊岗位津贴等。</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2、提租补贴（项）：</w:t>
      </w:r>
      <w:r>
        <w:rPr>
          <w:rFonts w:hint="eastAsia" w:ascii="仿宋_GB2312" w:hAnsi="仿宋_GB2312" w:eastAsia="仿宋_GB2312" w:cs="仿宋_GB2312"/>
          <w:sz w:val="32"/>
          <w:szCs w:val="32"/>
          <w:lang w:val="en-US" w:eastAsia="zh-CN"/>
        </w:rPr>
        <w:t>指经国务院批准，于2000年开始针对在京中央单位公有住房租金标准提高发放的补贴，中央在京单位按照在职在编职工人数和离退休人数以及相应职级的补贴标准确定，人均月补贴90.00元。</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3、购房补贴（项）：</w:t>
      </w:r>
      <w:r>
        <w:rPr>
          <w:rFonts w:hint="eastAsia" w:ascii="仿宋_GB2312" w:hAnsi="仿宋_GB2312" w:eastAsia="仿宋_GB2312" w:cs="仿宋_GB2312"/>
          <w:sz w:val="32"/>
          <w:szCs w:val="32"/>
          <w:lang w:val="en-US" w:eastAsia="zh-CN"/>
        </w:rPr>
        <w:t>指根据《国务院关于进一步深化城镇住房制度改革加快住房建设的通知》（国发〔 1998〕23号）的规定, 从1998年下半年停止实物分房后，房价收入比超过4倍以上地区对无房和住房未达标职工发放的住房货币化改革补贴资金。中央行政事业单位从2000年开始发放购房补贴资金，地方行政事业单位从1999年陆续开始发放购房补贴资金，企业根据本单位情况自 行确定。在京中央单位按照《中共中央办公厅国务院办公厅转发建设部等单位〈关于完善在京中央和国家机关住房制度的若干意见〉的通知》（厅字〔2005〕8号）规定的标准执行，京外中央单位按照所在地人民政府住房分配货币化改革的政策规定和标准执行。</w:t>
      </w:r>
    </w:p>
    <w:bookmarkEnd w:id="0"/>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（十）结转下年：</w:t>
      </w:r>
      <w:r>
        <w:rPr>
          <w:rFonts w:hint="eastAsia" w:ascii="仿宋_GB2312" w:hAnsi="仿宋_GB2312" w:eastAsia="仿宋_GB2312" w:cs="仿宋_GB2312"/>
          <w:sz w:val="32"/>
          <w:szCs w:val="32"/>
          <w:lang w:val="en-US" w:eastAsia="zh-CN"/>
        </w:rPr>
        <w:t>指以前年度预算安排、因客观条件发生无法按原计划实施，需延迟到以后年度按原规定用途继续使用的资金。</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（十一）基本支出：</w:t>
      </w:r>
      <w:r>
        <w:rPr>
          <w:rFonts w:hint="eastAsia" w:ascii="仿宋_GB2312" w:hAnsi="仿宋_GB2312" w:eastAsia="仿宋_GB2312" w:cs="仿宋_GB2312"/>
          <w:sz w:val="32"/>
          <w:szCs w:val="32"/>
          <w:lang w:val="en-US" w:eastAsia="zh-CN"/>
        </w:rPr>
        <w:t>指为保障机构正常运转、完成日常工作任务而发生的人员支出和公用支出。</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（十二）项目支出：</w:t>
      </w:r>
      <w:r>
        <w:rPr>
          <w:rFonts w:hint="eastAsia" w:ascii="仿宋_GB2312" w:hAnsi="仿宋_GB2312" w:eastAsia="仿宋_GB2312" w:cs="仿宋_GB2312"/>
          <w:sz w:val="32"/>
          <w:szCs w:val="32"/>
          <w:lang w:val="en-US" w:eastAsia="zh-CN"/>
        </w:rPr>
        <w:t>指在基本支出之外为完成特定行政任务或事业发展目标所发生的支出。</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（十三）“三公”经费：</w:t>
      </w:r>
      <w:r>
        <w:rPr>
          <w:rFonts w:hint="eastAsia" w:ascii="仿宋_GB2312" w:hAnsi="仿宋_GB2312" w:eastAsia="仿宋_GB2312" w:cs="仿宋_GB2312"/>
          <w:sz w:val="32"/>
          <w:szCs w:val="32"/>
          <w:lang w:val="en-US" w:eastAsia="zh-CN"/>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燃料费、维修费、过路过桥费、保险费、安全奖励费用等支出；公务接待费反映单位按规定开支的各类公务接待（含外宾接待）支出。</w:t>
      </w:r>
    </w:p>
    <w:p>
      <w:pPr>
        <w:pStyle w:val="19"/>
        <w:spacing w:line="560" w:lineRule="exact"/>
        <w:ind w:firstLine="642" w:firstLineChars="200"/>
        <w:jc w:val="both"/>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（十四）机关运行经费：</w:t>
      </w:r>
      <w:r>
        <w:rPr>
          <w:rFonts w:hint="eastAsia" w:ascii="仿宋_GB2312" w:hAnsi="仿宋_GB2312" w:eastAsia="仿宋_GB2312" w:cs="仿宋_GB2312"/>
          <w:sz w:val="32"/>
          <w:szCs w:val="32"/>
          <w:lang w:val="en-US" w:eastAsia="zh-CN"/>
        </w:rPr>
        <w:t>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9" w:type="default"/>
      <w:type w:val="continuous"/>
      <w:pgSz w:w="11900" w:h="16840"/>
      <w:pgMar w:top="1565" w:right="1372" w:bottom="1565" w:left="1457" w:header="1135" w:footer="56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7A"/>
    <w:family w:val="auto"/>
    <w:pitch w:val="default"/>
    <w:sig w:usb0="00000000" w:usb1="00000000" w:usb2="00000009" w:usb3="00000000" w:csb0="400001FF" w:csb1="FFFF0000"/>
  </w:font>
  <w:font w:name="宋体">
    <w:panose1 w:val="02030304000000000000"/>
    <w:charset w:val="50"/>
    <w:family w:val="auto"/>
    <w:pitch w:val="default"/>
    <w:sig w:usb0="E7FFAEFF" w:usb1="F9FFFFFF" w:usb2="000FFDFF" w:usb3="00000000" w:csb0="603F01FF" w:csb1="FFFF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PMingLiU">
    <w:altName w:val="Droid Sans Fallback"/>
    <w:panose1 w:val="02020500000000000000"/>
    <w:charset w:val="88"/>
    <w:family w:val="roman"/>
    <w:pitch w:val="default"/>
    <w:sig w:usb0="00000000" w:usb1="00000000" w:usb2="00000016" w:usb3="00000000" w:csb0="00100001" w:csb1="00000000"/>
  </w:font>
  <w:font w:name="Droid Sans Fallback">
    <w:panose1 w:val="020B0502000000000001"/>
    <w:charset w:val="86"/>
    <w:family w:val="auto"/>
    <w:pitch w:val="default"/>
    <w:sig w:usb0="910002FF" w:usb1="2BDFFCFB" w:usb2="00000036" w:usb3="00000000" w:csb0="203F01FF" w:csb1="D7FF0000"/>
  </w:font>
  <w:font w:name="仿宋_GB2312">
    <w:panose1 w:val="02010609030101010101"/>
    <w:charset w:val="86"/>
    <w:family w:val="modern"/>
    <w:pitch w:val="default"/>
    <w:sig w:usb0="00000001" w:usb1="080E0000" w:usb2="00000000" w:usb3="00000000" w:csb0="00040000" w:csb1="00000000"/>
  </w:font>
  <w:font w:name="MathJax_Vector">
    <w:panose1 w:val="02000603000000000000"/>
    <w:charset w:val="00"/>
    <w:family w:val="auto"/>
    <w:pitch w:val="default"/>
    <w:sig w:usb0="00000001" w:usb1="0000002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2</w:t>
        </w:r>
        <w:r>
          <w:fldChar w:fldCharType="end"/>
        </w:r>
      </w:p>
    </w:sdtContent>
  </w:sdt>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2</w:t>
        </w:r>
        <w:r>
          <w:fldChar w:fldCharType="end"/>
        </w:r>
      </w:p>
    </w:sdtContent>
  </w:sdt>
  <w:p>
    <w:pPr>
      <w:pStyle w:val="6"/>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7114686"/>
      <w:docPartObj>
        <w:docPartGallery w:val="autotext"/>
      </w:docPartObj>
    </w:sdtPr>
    <w:sdtContent>
      <w:p>
        <w:pPr>
          <w:pStyle w:val="8"/>
          <w:jc w:val="center"/>
        </w:pPr>
        <w:r>
          <w:fldChar w:fldCharType="begin"/>
        </w:r>
        <w:r>
          <w:instrText xml:space="preserve">PAGE   \* MERGEFORMAT</w:instrText>
        </w:r>
        <w:r>
          <w:fldChar w:fldCharType="separate"/>
        </w:r>
        <w:r>
          <w:rPr>
            <w:lang w:val="zh-CN" w:eastAsia="zh-CN"/>
          </w:rPr>
          <w:t>2</w:t>
        </w:r>
        <w:r>
          <w:fldChar w:fldCharType="end"/>
        </w:r>
      </w:p>
    </w:sdtContent>
  </w:sdt>
  <w:p>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81"/>
  <w:drawingGridVerticalSpacing w:val="181"/>
  <w:displayHorizontalDrawingGridEvery w:val="1"/>
  <w:displayVerticalDrawingGridEvery w:val="1"/>
  <w:noPunctuationKerning w:val="1"/>
  <w:characterSpacingControl w:val="compressPunctuation"/>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JjY2YwNTI2NWZhODFlZWJiOTJkYTkyMGI4NGU5OWMifQ=="/>
  </w:docVars>
  <w:rsids>
    <w:rsidRoot w:val="00A169E1"/>
    <w:rsid w:val="00002F40"/>
    <w:rsid w:val="00006BF1"/>
    <w:rsid w:val="00016990"/>
    <w:rsid w:val="00040784"/>
    <w:rsid w:val="00080535"/>
    <w:rsid w:val="0008443A"/>
    <w:rsid w:val="00086835"/>
    <w:rsid w:val="000A015B"/>
    <w:rsid w:val="000A5705"/>
    <w:rsid w:val="000E0A0C"/>
    <w:rsid w:val="000E131E"/>
    <w:rsid w:val="00134A0F"/>
    <w:rsid w:val="0014082E"/>
    <w:rsid w:val="00186F1B"/>
    <w:rsid w:val="001A120B"/>
    <w:rsid w:val="001A35F1"/>
    <w:rsid w:val="001F297A"/>
    <w:rsid w:val="001F481E"/>
    <w:rsid w:val="00205D06"/>
    <w:rsid w:val="002B4B23"/>
    <w:rsid w:val="002C3EC7"/>
    <w:rsid w:val="002D02CF"/>
    <w:rsid w:val="002E0893"/>
    <w:rsid w:val="00307A71"/>
    <w:rsid w:val="0031037D"/>
    <w:rsid w:val="00367AAD"/>
    <w:rsid w:val="00382185"/>
    <w:rsid w:val="003A3927"/>
    <w:rsid w:val="003A5059"/>
    <w:rsid w:val="003A7EC6"/>
    <w:rsid w:val="003B6F91"/>
    <w:rsid w:val="003C51F1"/>
    <w:rsid w:val="00400234"/>
    <w:rsid w:val="00416465"/>
    <w:rsid w:val="004525EB"/>
    <w:rsid w:val="00454C27"/>
    <w:rsid w:val="004C197A"/>
    <w:rsid w:val="00500254"/>
    <w:rsid w:val="00535C5A"/>
    <w:rsid w:val="005464A9"/>
    <w:rsid w:val="00572562"/>
    <w:rsid w:val="005932FC"/>
    <w:rsid w:val="005C696E"/>
    <w:rsid w:val="005F4324"/>
    <w:rsid w:val="00600863"/>
    <w:rsid w:val="006062F0"/>
    <w:rsid w:val="00622A22"/>
    <w:rsid w:val="00640C14"/>
    <w:rsid w:val="00646157"/>
    <w:rsid w:val="006C2F34"/>
    <w:rsid w:val="006E62A3"/>
    <w:rsid w:val="0071188B"/>
    <w:rsid w:val="00780F68"/>
    <w:rsid w:val="007C2263"/>
    <w:rsid w:val="007E2AD6"/>
    <w:rsid w:val="007F3F6C"/>
    <w:rsid w:val="00854D47"/>
    <w:rsid w:val="008733E3"/>
    <w:rsid w:val="00875322"/>
    <w:rsid w:val="00894B48"/>
    <w:rsid w:val="009353CC"/>
    <w:rsid w:val="00941237"/>
    <w:rsid w:val="0096268C"/>
    <w:rsid w:val="009C0BDD"/>
    <w:rsid w:val="00A061FB"/>
    <w:rsid w:val="00A10EB1"/>
    <w:rsid w:val="00A169E1"/>
    <w:rsid w:val="00A35964"/>
    <w:rsid w:val="00A55D8F"/>
    <w:rsid w:val="00AD1CE5"/>
    <w:rsid w:val="00B00DDC"/>
    <w:rsid w:val="00B6316C"/>
    <w:rsid w:val="00BD74BE"/>
    <w:rsid w:val="00C3481B"/>
    <w:rsid w:val="00C37C6D"/>
    <w:rsid w:val="00C4652D"/>
    <w:rsid w:val="00C54325"/>
    <w:rsid w:val="00C83CCB"/>
    <w:rsid w:val="00C85390"/>
    <w:rsid w:val="00CC25EE"/>
    <w:rsid w:val="00CC5E00"/>
    <w:rsid w:val="00CD42CE"/>
    <w:rsid w:val="00CD5AC1"/>
    <w:rsid w:val="00CD6882"/>
    <w:rsid w:val="00CE7477"/>
    <w:rsid w:val="00D07F12"/>
    <w:rsid w:val="00D80560"/>
    <w:rsid w:val="00D92753"/>
    <w:rsid w:val="00DD1BBA"/>
    <w:rsid w:val="00DD3FD4"/>
    <w:rsid w:val="00DF3E3B"/>
    <w:rsid w:val="00E03BF0"/>
    <w:rsid w:val="00E222C0"/>
    <w:rsid w:val="00E23D18"/>
    <w:rsid w:val="00E566F3"/>
    <w:rsid w:val="00E67CE8"/>
    <w:rsid w:val="00E730BF"/>
    <w:rsid w:val="00E9472F"/>
    <w:rsid w:val="00EA49F2"/>
    <w:rsid w:val="00ED16DE"/>
    <w:rsid w:val="00EE6517"/>
    <w:rsid w:val="00F03C62"/>
    <w:rsid w:val="00F12F89"/>
    <w:rsid w:val="00F166C6"/>
    <w:rsid w:val="00F32916"/>
    <w:rsid w:val="00F502D5"/>
    <w:rsid w:val="00F53770"/>
    <w:rsid w:val="00F82250"/>
    <w:rsid w:val="00F86CE7"/>
    <w:rsid w:val="00FD0B0C"/>
    <w:rsid w:val="04FA0456"/>
    <w:rsid w:val="07DD2215"/>
    <w:rsid w:val="086A00A4"/>
    <w:rsid w:val="0B10555F"/>
    <w:rsid w:val="0BDD3B1A"/>
    <w:rsid w:val="0F2F28B9"/>
    <w:rsid w:val="10672D3D"/>
    <w:rsid w:val="1B4556FA"/>
    <w:rsid w:val="1DDD75B8"/>
    <w:rsid w:val="1FBD5107"/>
    <w:rsid w:val="23D612AF"/>
    <w:rsid w:val="25753B44"/>
    <w:rsid w:val="2CB77D04"/>
    <w:rsid w:val="36781FC0"/>
    <w:rsid w:val="36797310"/>
    <w:rsid w:val="37375552"/>
    <w:rsid w:val="38C21BB0"/>
    <w:rsid w:val="3D3A446C"/>
    <w:rsid w:val="3EB02ED8"/>
    <w:rsid w:val="3F794FBA"/>
    <w:rsid w:val="42822086"/>
    <w:rsid w:val="43435468"/>
    <w:rsid w:val="43C62D98"/>
    <w:rsid w:val="45C847D9"/>
    <w:rsid w:val="49B71CA1"/>
    <w:rsid w:val="4B452296"/>
    <w:rsid w:val="4B8C01FC"/>
    <w:rsid w:val="4CD3162C"/>
    <w:rsid w:val="4D4D4A38"/>
    <w:rsid w:val="4E5421AF"/>
    <w:rsid w:val="4E677EBB"/>
    <w:rsid w:val="501E0810"/>
    <w:rsid w:val="51184C8C"/>
    <w:rsid w:val="56987831"/>
    <w:rsid w:val="56FC6D31"/>
    <w:rsid w:val="57A957F9"/>
    <w:rsid w:val="58210704"/>
    <w:rsid w:val="59C02DAD"/>
    <w:rsid w:val="59ED6261"/>
    <w:rsid w:val="5AEC5FF4"/>
    <w:rsid w:val="5BA3442C"/>
    <w:rsid w:val="6701068B"/>
    <w:rsid w:val="6D4745DB"/>
    <w:rsid w:val="710F7CDE"/>
    <w:rsid w:val="721B3237"/>
    <w:rsid w:val="7A6F006C"/>
    <w:rsid w:val="7B3404F6"/>
    <w:rsid w:val="7DFA7403"/>
    <w:rsid w:val="7F774CCA"/>
    <w:rsid w:val="E56FDF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qFormat/>
    <w:uiPriority w:val="1"/>
    <w:pPr>
      <w:spacing w:before="111"/>
      <w:ind w:left="114"/>
      <w:outlineLvl w:val="0"/>
    </w:pPr>
    <w:rPr>
      <w:rFonts w:ascii="黑体" w:hAnsi="黑体" w:eastAsia="黑体" w:cs="黑体"/>
      <w:sz w:val="29"/>
      <w:szCs w:val="29"/>
      <w:lang w:val="zh-CN" w:eastAsia="zh-CN" w:bidi="zh-CN"/>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640" w:firstLineChars="200"/>
    </w:pPr>
    <w:rPr>
      <w:rFonts w:eastAsia="黑体"/>
      <w:sz w:val="32"/>
    </w:rPr>
  </w:style>
  <w:style w:type="paragraph" w:styleId="5">
    <w:name w:val="Normal Indent"/>
    <w:basedOn w:val="1"/>
    <w:qFormat/>
    <w:uiPriority w:val="0"/>
    <w:pPr>
      <w:ind w:firstLine="420" w:firstLineChars="200"/>
    </w:pPr>
    <w:rPr>
      <w:rFonts w:ascii="Times New Roman" w:hAnsi="Times New Roman" w:eastAsia="宋体" w:cs="Times New Roman"/>
    </w:rPr>
  </w:style>
  <w:style w:type="paragraph" w:styleId="6">
    <w:name w:val="Body Text"/>
    <w:basedOn w:val="1"/>
    <w:qFormat/>
    <w:uiPriority w:val="1"/>
    <w:rPr>
      <w:rFonts w:ascii="宋体" w:hAnsi="宋体" w:eastAsia="宋体" w:cs="宋体"/>
      <w:sz w:val="21"/>
      <w:szCs w:val="21"/>
      <w:lang w:val="zh-CN" w:eastAsia="zh-CN" w:bidi="zh-CN"/>
    </w:rPr>
  </w:style>
  <w:style w:type="paragraph" w:styleId="7">
    <w:name w:val="Balloon Text"/>
    <w:basedOn w:val="1"/>
    <w:link w:val="43"/>
    <w:qFormat/>
    <w:uiPriority w:val="0"/>
    <w:rPr>
      <w:sz w:val="18"/>
      <w:szCs w:val="18"/>
    </w:rPr>
  </w:style>
  <w:style w:type="paragraph" w:styleId="8">
    <w:name w:val="footer"/>
    <w:basedOn w:val="1"/>
    <w:link w:val="44"/>
    <w:qFormat/>
    <w:uiPriority w:val="99"/>
    <w:pPr>
      <w:tabs>
        <w:tab w:val="center" w:pos="4153"/>
        <w:tab w:val="right" w:pos="8306"/>
      </w:tabs>
      <w:snapToGrid w:val="0"/>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0">
    <w:name w:val="Normal (Web)"/>
    <w:basedOn w:val="1"/>
    <w:unhideWhenUsed/>
    <w:qFormat/>
    <w:uiPriority w:val="99"/>
    <w:pPr>
      <w:widowControl/>
      <w:spacing w:before="100" w:beforeAutospacing="1" w:after="100" w:afterAutospacing="1"/>
    </w:pPr>
    <w:rPr>
      <w:rFonts w:ascii="宋体" w:hAnsi="宋体" w:eastAsia="宋体" w:cs="宋体"/>
      <w:color w:val="auto"/>
      <w:lang w:eastAsia="zh-CN" w:bidi="ar-SA"/>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4">
    <w:name w:val="Body text|5_"/>
    <w:basedOn w:val="13"/>
    <w:link w:val="15"/>
    <w:qFormat/>
    <w:uiPriority w:val="0"/>
    <w:rPr>
      <w:rFonts w:ascii="宋体" w:hAnsi="宋体" w:eastAsia="宋体" w:cs="宋体"/>
      <w:sz w:val="82"/>
      <w:szCs w:val="82"/>
      <w:u w:val="none"/>
      <w:shd w:val="clear" w:color="auto" w:fill="auto"/>
      <w:lang w:val="zh-TW" w:eastAsia="zh-TW" w:bidi="zh-TW"/>
    </w:rPr>
  </w:style>
  <w:style w:type="paragraph" w:customStyle="1" w:styleId="15">
    <w:name w:val="Body text|5"/>
    <w:basedOn w:val="1"/>
    <w:link w:val="14"/>
    <w:qFormat/>
    <w:uiPriority w:val="0"/>
    <w:pPr>
      <w:spacing w:after="9540" w:line="1162" w:lineRule="exact"/>
      <w:jc w:val="center"/>
    </w:pPr>
    <w:rPr>
      <w:rFonts w:ascii="宋体" w:hAnsi="宋体" w:eastAsia="宋体" w:cs="宋体"/>
      <w:sz w:val="82"/>
      <w:szCs w:val="82"/>
      <w:lang w:val="zh-TW" w:eastAsia="zh-TW" w:bidi="zh-TW"/>
    </w:rPr>
  </w:style>
  <w:style w:type="character" w:customStyle="1" w:styleId="16">
    <w:name w:val="Body text|6_"/>
    <w:basedOn w:val="13"/>
    <w:link w:val="17"/>
    <w:qFormat/>
    <w:uiPriority w:val="0"/>
    <w:rPr>
      <w:rFonts w:ascii="宋体" w:hAnsi="宋体" w:eastAsia="宋体" w:cs="宋体"/>
      <w:sz w:val="46"/>
      <w:szCs w:val="46"/>
      <w:u w:val="none"/>
      <w:shd w:val="clear" w:color="auto" w:fill="auto"/>
      <w:lang w:val="zh-TW" w:eastAsia="zh-TW" w:bidi="zh-TW"/>
    </w:rPr>
  </w:style>
  <w:style w:type="paragraph" w:customStyle="1" w:styleId="17">
    <w:name w:val="Body text|6"/>
    <w:basedOn w:val="1"/>
    <w:link w:val="16"/>
    <w:qFormat/>
    <w:uiPriority w:val="0"/>
    <w:pPr>
      <w:jc w:val="center"/>
    </w:pPr>
    <w:rPr>
      <w:rFonts w:ascii="宋体" w:hAnsi="宋体" w:eastAsia="宋体" w:cs="宋体"/>
      <w:sz w:val="46"/>
      <w:szCs w:val="46"/>
      <w:lang w:val="zh-TW" w:eastAsia="zh-TW" w:bidi="zh-TW"/>
    </w:rPr>
  </w:style>
  <w:style w:type="character" w:customStyle="1" w:styleId="18">
    <w:name w:val="Body text|1_"/>
    <w:basedOn w:val="13"/>
    <w:link w:val="19"/>
    <w:qFormat/>
    <w:uiPriority w:val="0"/>
    <w:rPr>
      <w:rFonts w:ascii="宋体" w:hAnsi="宋体" w:eastAsia="宋体" w:cs="宋体"/>
      <w:sz w:val="30"/>
      <w:szCs w:val="30"/>
      <w:u w:val="none"/>
      <w:shd w:val="clear" w:color="auto" w:fill="auto"/>
      <w:lang w:val="zh-TW" w:eastAsia="zh-TW" w:bidi="zh-TW"/>
    </w:rPr>
  </w:style>
  <w:style w:type="paragraph" w:customStyle="1" w:styleId="19">
    <w:name w:val="Body text|1"/>
    <w:basedOn w:val="1"/>
    <w:link w:val="18"/>
    <w:qFormat/>
    <w:uiPriority w:val="0"/>
    <w:pPr>
      <w:spacing w:line="382" w:lineRule="auto"/>
      <w:ind w:firstLine="400"/>
    </w:pPr>
    <w:rPr>
      <w:rFonts w:ascii="宋体" w:hAnsi="宋体" w:eastAsia="宋体" w:cs="宋体"/>
      <w:sz w:val="30"/>
      <w:szCs w:val="30"/>
      <w:lang w:val="zh-TW" w:eastAsia="zh-TW" w:bidi="zh-TW"/>
    </w:rPr>
  </w:style>
  <w:style w:type="character" w:customStyle="1" w:styleId="20">
    <w:name w:val="Heading #1|1_"/>
    <w:basedOn w:val="13"/>
    <w:link w:val="21"/>
    <w:qFormat/>
    <w:uiPriority w:val="0"/>
    <w:rPr>
      <w:rFonts w:ascii="宋体" w:hAnsi="宋体" w:eastAsia="宋体" w:cs="宋体"/>
      <w:sz w:val="36"/>
      <w:szCs w:val="36"/>
      <w:u w:val="none"/>
      <w:shd w:val="clear" w:color="auto" w:fill="auto"/>
      <w:lang w:val="zh-TW" w:eastAsia="zh-TW" w:bidi="zh-TW"/>
    </w:rPr>
  </w:style>
  <w:style w:type="paragraph" w:customStyle="1" w:styleId="21">
    <w:name w:val="Heading #1|1"/>
    <w:basedOn w:val="1"/>
    <w:link w:val="20"/>
    <w:qFormat/>
    <w:uiPriority w:val="0"/>
    <w:pPr>
      <w:spacing w:after="620"/>
      <w:jc w:val="center"/>
      <w:outlineLvl w:val="0"/>
    </w:pPr>
    <w:rPr>
      <w:rFonts w:ascii="宋体" w:hAnsi="宋体" w:eastAsia="宋体" w:cs="宋体"/>
      <w:sz w:val="36"/>
      <w:szCs w:val="36"/>
      <w:lang w:val="zh-TW" w:eastAsia="zh-TW" w:bidi="zh-TW"/>
    </w:rPr>
  </w:style>
  <w:style w:type="character" w:customStyle="1" w:styleId="22">
    <w:name w:val="Header or footer|2_"/>
    <w:basedOn w:val="13"/>
    <w:link w:val="23"/>
    <w:qFormat/>
    <w:uiPriority w:val="0"/>
    <w:rPr>
      <w:sz w:val="20"/>
      <w:szCs w:val="20"/>
      <w:u w:val="none"/>
      <w:shd w:val="clear" w:color="auto" w:fill="auto"/>
      <w:lang w:val="zh-TW" w:eastAsia="zh-TW" w:bidi="zh-TW"/>
    </w:rPr>
  </w:style>
  <w:style w:type="paragraph" w:customStyle="1" w:styleId="23">
    <w:name w:val="Header or footer|2"/>
    <w:basedOn w:val="1"/>
    <w:link w:val="22"/>
    <w:qFormat/>
    <w:uiPriority w:val="0"/>
    <w:rPr>
      <w:sz w:val="20"/>
      <w:szCs w:val="20"/>
      <w:lang w:val="zh-TW" w:eastAsia="zh-TW" w:bidi="zh-TW"/>
    </w:rPr>
  </w:style>
  <w:style w:type="character" w:customStyle="1" w:styleId="24">
    <w:name w:val="Header or footer|1_"/>
    <w:basedOn w:val="13"/>
    <w:link w:val="25"/>
    <w:qFormat/>
    <w:uiPriority w:val="0"/>
    <w:rPr>
      <w:rFonts w:ascii="宋体" w:hAnsi="宋体" w:eastAsia="宋体" w:cs="宋体"/>
      <w:sz w:val="18"/>
      <w:szCs w:val="18"/>
      <w:u w:val="none"/>
      <w:shd w:val="clear" w:color="auto" w:fill="auto"/>
      <w:lang w:val="zh-TW" w:eastAsia="zh-TW" w:bidi="zh-TW"/>
    </w:rPr>
  </w:style>
  <w:style w:type="paragraph" w:customStyle="1" w:styleId="25">
    <w:name w:val="Header or footer|1"/>
    <w:basedOn w:val="1"/>
    <w:link w:val="24"/>
    <w:qFormat/>
    <w:uiPriority w:val="0"/>
    <w:rPr>
      <w:rFonts w:ascii="宋体" w:hAnsi="宋体" w:eastAsia="宋体" w:cs="宋体"/>
      <w:sz w:val="18"/>
      <w:szCs w:val="18"/>
      <w:lang w:val="zh-TW" w:eastAsia="zh-TW" w:bidi="zh-TW"/>
    </w:rPr>
  </w:style>
  <w:style w:type="character" w:customStyle="1" w:styleId="26">
    <w:name w:val="Heading #2|1_"/>
    <w:basedOn w:val="13"/>
    <w:link w:val="27"/>
    <w:qFormat/>
    <w:uiPriority w:val="0"/>
    <w:rPr>
      <w:rFonts w:ascii="宋体" w:hAnsi="宋体" w:eastAsia="宋体" w:cs="宋体"/>
      <w:sz w:val="30"/>
      <w:szCs w:val="30"/>
      <w:u w:val="none"/>
      <w:shd w:val="clear" w:color="auto" w:fill="auto"/>
      <w:lang w:val="zh-TW" w:eastAsia="zh-TW" w:bidi="zh-TW"/>
    </w:rPr>
  </w:style>
  <w:style w:type="paragraph" w:customStyle="1" w:styleId="27">
    <w:name w:val="Heading #2|1"/>
    <w:basedOn w:val="1"/>
    <w:link w:val="26"/>
    <w:qFormat/>
    <w:uiPriority w:val="0"/>
    <w:pPr>
      <w:spacing w:after="120" w:line="665" w:lineRule="exact"/>
      <w:ind w:left="790" w:firstLine="650"/>
      <w:outlineLvl w:val="1"/>
    </w:pPr>
    <w:rPr>
      <w:rFonts w:ascii="宋体" w:hAnsi="宋体" w:eastAsia="宋体" w:cs="宋体"/>
      <w:sz w:val="30"/>
      <w:szCs w:val="30"/>
      <w:lang w:val="zh-TW" w:eastAsia="zh-TW" w:bidi="zh-TW"/>
    </w:rPr>
  </w:style>
  <w:style w:type="character" w:customStyle="1" w:styleId="28">
    <w:name w:val="Other|1_"/>
    <w:basedOn w:val="13"/>
    <w:link w:val="29"/>
    <w:qFormat/>
    <w:uiPriority w:val="0"/>
    <w:rPr>
      <w:rFonts w:ascii="宋体" w:hAnsi="宋体" w:eastAsia="宋体" w:cs="宋体"/>
      <w:sz w:val="30"/>
      <w:szCs w:val="30"/>
      <w:u w:val="none"/>
      <w:shd w:val="clear" w:color="auto" w:fill="auto"/>
      <w:lang w:val="zh-TW" w:eastAsia="zh-TW" w:bidi="zh-TW"/>
    </w:rPr>
  </w:style>
  <w:style w:type="paragraph" w:customStyle="1" w:styleId="29">
    <w:name w:val="Other|1"/>
    <w:basedOn w:val="1"/>
    <w:link w:val="28"/>
    <w:qFormat/>
    <w:uiPriority w:val="0"/>
    <w:pPr>
      <w:spacing w:line="382" w:lineRule="auto"/>
      <w:ind w:firstLine="400"/>
    </w:pPr>
    <w:rPr>
      <w:rFonts w:ascii="宋体" w:hAnsi="宋体" w:eastAsia="宋体" w:cs="宋体"/>
      <w:sz w:val="30"/>
      <w:szCs w:val="30"/>
      <w:lang w:val="zh-TW" w:eastAsia="zh-TW" w:bidi="zh-TW"/>
    </w:rPr>
  </w:style>
  <w:style w:type="character" w:customStyle="1" w:styleId="30">
    <w:name w:val="Body text|4_"/>
    <w:basedOn w:val="13"/>
    <w:link w:val="31"/>
    <w:qFormat/>
    <w:uiPriority w:val="0"/>
    <w:rPr>
      <w:rFonts w:ascii="宋体" w:hAnsi="宋体" w:eastAsia="宋体" w:cs="宋体"/>
      <w:sz w:val="34"/>
      <w:szCs w:val="34"/>
      <w:u w:val="none"/>
      <w:shd w:val="clear" w:color="auto" w:fill="auto"/>
      <w:lang w:val="zh-TW" w:eastAsia="zh-TW" w:bidi="zh-TW"/>
    </w:rPr>
  </w:style>
  <w:style w:type="paragraph" w:customStyle="1" w:styleId="31">
    <w:name w:val="Body text|4"/>
    <w:basedOn w:val="1"/>
    <w:link w:val="30"/>
    <w:qFormat/>
    <w:uiPriority w:val="0"/>
    <w:pPr>
      <w:jc w:val="center"/>
    </w:pPr>
    <w:rPr>
      <w:rFonts w:ascii="宋体" w:hAnsi="宋体" w:eastAsia="宋体" w:cs="宋体"/>
      <w:sz w:val="34"/>
      <w:szCs w:val="34"/>
      <w:lang w:val="zh-TW" w:eastAsia="zh-TW" w:bidi="zh-TW"/>
    </w:rPr>
  </w:style>
  <w:style w:type="character" w:customStyle="1" w:styleId="32">
    <w:name w:val="Table caption|1_"/>
    <w:basedOn w:val="13"/>
    <w:link w:val="33"/>
    <w:qFormat/>
    <w:uiPriority w:val="0"/>
    <w:rPr>
      <w:rFonts w:ascii="宋体" w:hAnsi="宋体" w:eastAsia="宋体" w:cs="宋体"/>
      <w:sz w:val="19"/>
      <w:szCs w:val="19"/>
      <w:u w:val="none"/>
      <w:shd w:val="clear" w:color="auto" w:fill="auto"/>
      <w:lang w:val="zh-TW" w:eastAsia="zh-TW" w:bidi="zh-TW"/>
    </w:rPr>
  </w:style>
  <w:style w:type="paragraph" w:customStyle="1" w:styleId="33">
    <w:name w:val="Table caption|1"/>
    <w:basedOn w:val="1"/>
    <w:link w:val="32"/>
    <w:qFormat/>
    <w:uiPriority w:val="0"/>
    <w:rPr>
      <w:rFonts w:ascii="宋体" w:hAnsi="宋体" w:eastAsia="宋体" w:cs="宋体"/>
      <w:sz w:val="19"/>
      <w:szCs w:val="19"/>
      <w:lang w:val="zh-TW" w:eastAsia="zh-TW" w:bidi="zh-TW"/>
    </w:rPr>
  </w:style>
  <w:style w:type="character" w:customStyle="1" w:styleId="34">
    <w:name w:val="Body text|2_"/>
    <w:basedOn w:val="13"/>
    <w:link w:val="35"/>
    <w:qFormat/>
    <w:uiPriority w:val="0"/>
    <w:rPr>
      <w:sz w:val="32"/>
      <w:szCs w:val="32"/>
      <w:u w:val="none"/>
      <w:shd w:val="clear" w:color="auto" w:fill="auto"/>
      <w:lang w:val="zh-TW" w:eastAsia="zh-TW" w:bidi="zh-TW"/>
    </w:rPr>
  </w:style>
  <w:style w:type="paragraph" w:customStyle="1" w:styleId="35">
    <w:name w:val="Body text|2"/>
    <w:basedOn w:val="1"/>
    <w:link w:val="34"/>
    <w:qFormat/>
    <w:uiPriority w:val="0"/>
    <w:pPr>
      <w:spacing w:after="920" w:line="326" w:lineRule="auto"/>
    </w:pPr>
    <w:rPr>
      <w:sz w:val="32"/>
      <w:szCs w:val="32"/>
      <w:lang w:val="zh-TW" w:eastAsia="zh-TW" w:bidi="zh-TW"/>
    </w:rPr>
  </w:style>
  <w:style w:type="character" w:customStyle="1" w:styleId="36">
    <w:name w:val="Body text|3_"/>
    <w:basedOn w:val="13"/>
    <w:link w:val="37"/>
    <w:qFormat/>
    <w:uiPriority w:val="0"/>
    <w:rPr>
      <w:sz w:val="20"/>
      <w:szCs w:val="20"/>
      <w:u w:val="none"/>
      <w:shd w:val="clear" w:color="auto" w:fill="auto"/>
      <w:lang w:val="zh-TW" w:eastAsia="zh-TW" w:bidi="zh-TW"/>
    </w:rPr>
  </w:style>
  <w:style w:type="paragraph" w:customStyle="1" w:styleId="37">
    <w:name w:val="Body text|3"/>
    <w:basedOn w:val="1"/>
    <w:link w:val="36"/>
    <w:qFormat/>
    <w:uiPriority w:val="0"/>
    <w:pPr>
      <w:spacing w:after="80"/>
      <w:ind w:left="1400"/>
    </w:pPr>
    <w:rPr>
      <w:sz w:val="20"/>
      <w:szCs w:val="20"/>
      <w:lang w:val="zh-TW" w:eastAsia="zh-TW" w:bidi="zh-TW"/>
    </w:rPr>
  </w:style>
  <w:style w:type="character" w:customStyle="1" w:styleId="38">
    <w:name w:val="Picture caption|1_"/>
    <w:basedOn w:val="13"/>
    <w:link w:val="39"/>
    <w:qFormat/>
    <w:uiPriority w:val="0"/>
    <w:rPr>
      <w:rFonts w:ascii="宋体" w:hAnsi="宋体" w:eastAsia="宋体" w:cs="宋体"/>
      <w:sz w:val="30"/>
      <w:szCs w:val="30"/>
      <w:u w:val="none"/>
      <w:shd w:val="clear" w:color="auto" w:fill="auto"/>
      <w:lang w:val="zh-TW" w:eastAsia="zh-TW" w:bidi="zh-TW"/>
    </w:rPr>
  </w:style>
  <w:style w:type="paragraph" w:customStyle="1" w:styleId="39">
    <w:name w:val="Picture caption|1"/>
    <w:basedOn w:val="1"/>
    <w:link w:val="38"/>
    <w:qFormat/>
    <w:uiPriority w:val="0"/>
    <w:rPr>
      <w:rFonts w:ascii="宋体" w:hAnsi="宋体" w:eastAsia="宋体" w:cs="宋体"/>
      <w:sz w:val="30"/>
      <w:szCs w:val="30"/>
      <w:lang w:val="zh-TW" w:eastAsia="zh-TW" w:bidi="zh-TW"/>
    </w:rPr>
  </w:style>
  <w:style w:type="character" w:customStyle="1" w:styleId="40">
    <w:name w:val="Other|2_"/>
    <w:basedOn w:val="13"/>
    <w:link w:val="41"/>
    <w:qFormat/>
    <w:uiPriority w:val="0"/>
    <w:rPr>
      <w:rFonts w:ascii="宋体" w:hAnsi="宋体" w:eastAsia="宋体" w:cs="宋体"/>
      <w:sz w:val="19"/>
      <w:szCs w:val="19"/>
      <w:u w:val="none"/>
      <w:shd w:val="clear" w:color="auto" w:fill="auto"/>
      <w:lang w:val="zh-TW" w:eastAsia="zh-TW" w:bidi="zh-TW"/>
    </w:rPr>
  </w:style>
  <w:style w:type="paragraph" w:customStyle="1" w:styleId="41">
    <w:name w:val="Other|2"/>
    <w:basedOn w:val="1"/>
    <w:link w:val="40"/>
    <w:qFormat/>
    <w:uiPriority w:val="0"/>
    <w:pPr>
      <w:spacing w:before="160" w:line="197" w:lineRule="exact"/>
    </w:pPr>
    <w:rPr>
      <w:rFonts w:ascii="宋体" w:hAnsi="宋体" w:eastAsia="宋体" w:cs="宋体"/>
      <w:sz w:val="19"/>
      <w:szCs w:val="19"/>
      <w:lang w:val="zh-TW" w:eastAsia="zh-TW" w:bidi="zh-TW"/>
    </w:rPr>
  </w:style>
  <w:style w:type="paragraph" w:customStyle="1" w:styleId="42">
    <w:name w:val="Table Paragraph"/>
    <w:basedOn w:val="1"/>
    <w:qFormat/>
    <w:uiPriority w:val="1"/>
    <w:rPr>
      <w:rFonts w:ascii="宋体" w:hAnsi="宋体" w:eastAsia="宋体" w:cs="宋体"/>
      <w:lang w:val="zh-CN" w:eastAsia="zh-CN" w:bidi="zh-CN"/>
    </w:rPr>
  </w:style>
  <w:style w:type="character" w:customStyle="1" w:styleId="43">
    <w:name w:val="批注框文本 字符"/>
    <w:basedOn w:val="13"/>
    <w:link w:val="7"/>
    <w:qFormat/>
    <w:uiPriority w:val="0"/>
    <w:rPr>
      <w:rFonts w:eastAsia="Times New Roman"/>
      <w:color w:val="000000"/>
      <w:sz w:val="18"/>
      <w:szCs w:val="18"/>
      <w:lang w:eastAsia="en-US" w:bidi="en-US"/>
    </w:rPr>
  </w:style>
  <w:style w:type="character" w:customStyle="1" w:styleId="44">
    <w:name w:val="页脚 字符"/>
    <w:basedOn w:val="13"/>
    <w:link w:val="8"/>
    <w:qFormat/>
    <w:uiPriority w:val="99"/>
    <w:rPr>
      <w:rFonts w:eastAsia="Times New Roman"/>
      <w:color w:val="000000"/>
      <w:sz w:val="18"/>
      <w:szCs w:val="24"/>
      <w:lang w:eastAsia="en-US" w:bidi="en-US"/>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5" Type="http://schemas.openxmlformats.org/officeDocument/2006/relationships/fontTable" Target="fontTable.xml"/><Relationship Id="rId34" Type="http://schemas.openxmlformats.org/officeDocument/2006/relationships/chart" Target="charts/chart6.xml"/><Relationship Id="rId33" Type="http://schemas.openxmlformats.org/officeDocument/2006/relationships/chart" Target="charts/chart5.xml"/><Relationship Id="rId32" Type="http://schemas.openxmlformats.org/officeDocument/2006/relationships/chart" Target="charts/chart4.xml"/><Relationship Id="rId31" Type="http://schemas.openxmlformats.org/officeDocument/2006/relationships/chart" Target="charts/chart3.xml"/><Relationship Id="rId30" Type="http://schemas.openxmlformats.org/officeDocument/2006/relationships/chart" Target="charts/chart2.xml"/><Relationship Id="rId3" Type="http://schemas.openxmlformats.org/officeDocument/2006/relationships/footnotes" Target="footnotes.xml"/><Relationship Id="rId29" Type="http://schemas.openxmlformats.org/officeDocument/2006/relationships/chart" Target="charts/chart1.xml"/><Relationship Id="rId28" Type="http://schemas.openxmlformats.org/officeDocument/2006/relationships/image" Target="media/image9.emf"/><Relationship Id="rId27" Type="http://schemas.openxmlformats.org/officeDocument/2006/relationships/oleObject" Target="embeddings/oleObject9.bin"/><Relationship Id="rId26" Type="http://schemas.openxmlformats.org/officeDocument/2006/relationships/image" Target="media/image8.emf"/><Relationship Id="rId25" Type="http://schemas.openxmlformats.org/officeDocument/2006/relationships/oleObject" Target="embeddings/oleObject8.bin"/><Relationship Id="rId24" Type="http://schemas.openxmlformats.org/officeDocument/2006/relationships/image" Target="media/image7.emf"/><Relationship Id="rId23" Type="http://schemas.openxmlformats.org/officeDocument/2006/relationships/oleObject" Target="embeddings/oleObject7.bin"/><Relationship Id="rId22" Type="http://schemas.openxmlformats.org/officeDocument/2006/relationships/image" Target="media/image6.emf"/><Relationship Id="rId21" Type="http://schemas.openxmlformats.org/officeDocument/2006/relationships/oleObject" Target="embeddings/oleObject6.bin"/><Relationship Id="rId20" Type="http://schemas.openxmlformats.org/officeDocument/2006/relationships/image" Target="media/image5.emf"/><Relationship Id="rId2" Type="http://schemas.openxmlformats.org/officeDocument/2006/relationships/settings" Target="settings.xml"/><Relationship Id="rId19" Type="http://schemas.openxmlformats.org/officeDocument/2006/relationships/oleObject" Target="embeddings/oleObject5.bin"/><Relationship Id="rId18" Type="http://schemas.openxmlformats.org/officeDocument/2006/relationships/image" Target="media/image4.emf"/><Relationship Id="rId17" Type="http://schemas.openxmlformats.org/officeDocument/2006/relationships/oleObject" Target="embeddings/oleObject4.bin"/><Relationship Id="rId16" Type="http://schemas.openxmlformats.org/officeDocument/2006/relationships/image" Target="media/image3.emf"/><Relationship Id="rId15" Type="http://schemas.openxmlformats.org/officeDocument/2006/relationships/oleObject" Target="embeddings/oleObject3.bin"/><Relationship Id="rId14" Type="http://schemas.openxmlformats.org/officeDocument/2006/relationships/image" Target="media/image2.emf"/><Relationship Id="rId13" Type="http://schemas.openxmlformats.org/officeDocument/2006/relationships/oleObject" Target="embeddings/oleObject2.bin"/><Relationship Id="rId12" Type="http://schemas.openxmlformats.org/officeDocument/2006/relationships/image" Target="media/image1.emf"/><Relationship Id="rId11" Type="http://schemas.openxmlformats.org/officeDocument/2006/relationships/oleObject" Target="embeddings/oleObject1.bin"/><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部门收入预算</a:t>
            </a:r>
            <a:endParaRPr lang="zh-CN"/>
          </a:p>
        </c:rich>
      </c:tx>
      <c:layout/>
      <c:overlay val="0"/>
      <c:spPr>
        <a:noFill/>
        <a:ln>
          <a:noFill/>
        </a:ln>
        <a:effectLst/>
      </c:spPr>
    </c:title>
    <c:autoTitleDeleted val="0"/>
    <c:plotArea>
      <c:layout/>
      <c:pieChart>
        <c:varyColors val="1"/>
        <c:ser>
          <c:idx val="0"/>
          <c:order val="0"/>
          <c:tx>
            <c:strRef>
              <c:f>Sheet1!$B$1</c:f>
              <c:strCache>
                <c:ptCount val="1"/>
                <c:pt idx="0">
                  <c:v>部门收入预算</c:v>
                </c:pt>
              </c:strCache>
            </c:strRef>
          </c:tx>
          <c:spPr/>
          <c:explosion val="11"/>
          <c:dPt>
            <c:idx val="0"/>
            <c:bubble3D val="0"/>
            <c:explosion val="23"/>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Lbls>
            <c:dLbl>
              <c:idx val="0"/>
              <c:layout>
                <c:manualLayout>
                  <c:x val="0.0484384958572339"/>
                  <c:y val="-7.78476498834344e-1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25047801147228"/>
                  <c:y val="0.031847133757961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0739324410452518"/>
                  <c:y val="0.008492569002123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Sheet1!$A$2:$A$6</c:f>
              <c:strCache>
                <c:ptCount val="5"/>
                <c:pt idx="0">
                  <c:v>一般公共财政拨款收入</c:v>
                </c:pt>
                <c:pt idx="1">
                  <c:v>事业收入</c:v>
                </c:pt>
                <c:pt idx="2">
                  <c:v>其他收入</c:v>
                </c:pt>
                <c:pt idx="3">
                  <c:v>上年结转</c:v>
                </c:pt>
                <c:pt idx="4">
                  <c:v>使用非财政拨款结余</c:v>
                </c:pt>
              </c:strCache>
            </c:strRef>
          </c:cat>
          <c:val>
            <c:numRef>
              <c:f>Sheet1!$B$2:$B$6</c:f>
              <c:numCache>
                <c:formatCode>General</c:formatCode>
                <c:ptCount val="5"/>
                <c:pt idx="0">
                  <c:v>1126.52</c:v>
                </c:pt>
                <c:pt idx="1">
                  <c:v>1389</c:v>
                </c:pt>
                <c:pt idx="2">
                  <c:v>258.14</c:v>
                </c:pt>
                <c:pt idx="3">
                  <c:v>767.23</c:v>
                </c:pt>
                <c:pt idx="4">
                  <c:v>1459.71</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部门支出预算</a:t>
            </a:r>
            <a:endParaRPr lang="zh-CN"/>
          </a:p>
        </c:rich>
      </c:tx>
      <c:layout/>
      <c:overlay val="0"/>
      <c:spPr>
        <a:noFill/>
        <a:ln>
          <a:noFill/>
        </a:ln>
        <a:effectLst/>
      </c:spPr>
    </c:title>
    <c:autoTitleDeleted val="0"/>
    <c:plotArea>
      <c:layout/>
      <c:pieChart>
        <c:varyColors val="1"/>
        <c:ser>
          <c:idx val="0"/>
          <c:order val="0"/>
          <c:tx>
            <c:strRef>
              <c:f>Sheet1!$B$1</c:f>
              <c:strCache>
                <c:ptCount val="1"/>
                <c:pt idx="0">
                  <c:v>部门支出预算</c:v>
                </c:pt>
              </c:strCache>
            </c:strRef>
          </c:tx>
          <c:spPr/>
          <c:explosion val="5"/>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208333333333333"/>
                  <c:y val="0.011904761904761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300925925925926"/>
                  <c:y val="-0.019841269841269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3858.27</c:v>
                </c:pt>
                <c:pt idx="1">
                  <c:v>1142.33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财政拨款支出总预算</a:t>
            </a:r>
          </a:p>
        </c:rich>
      </c:tx>
      <c:layout/>
      <c:overlay val="0"/>
      <c:spPr>
        <a:noFill/>
        <a:ln>
          <a:noFill/>
        </a:ln>
        <a:effectLst/>
      </c:spPr>
    </c:title>
    <c:autoTitleDeleted val="0"/>
    <c:plotArea>
      <c:layout/>
      <c:pieChart>
        <c:varyColors val="1"/>
        <c:ser>
          <c:idx val="0"/>
          <c:order val="0"/>
          <c:tx>
            <c:strRef>
              <c:f>Sheet1!$B$1</c:f>
              <c:strCache>
                <c:ptCount val="1"/>
                <c:pt idx="0">
                  <c:v>财政拨款支出总预算</c:v>
                </c:pt>
              </c:strCache>
            </c:strRef>
          </c:tx>
          <c:spPr/>
          <c:explosion val="13"/>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589170043065007"/>
                  <c:y val="-0.068888834036811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53266060189074"/>
                  <c:y val="0.08070528801454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202252234378056"/>
                  <c:y val="0.093886856676697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177671936646036"/>
                  <c:y val="0.049392010540954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ctr"/>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Sheet1!$A$2:$A$5</c:f>
              <c:strCache>
                <c:ptCount val="4"/>
                <c:pt idx="0">
                  <c:v>文化旅游体育与传媒支出</c:v>
                </c:pt>
                <c:pt idx="1">
                  <c:v>社会保障和就业支出</c:v>
                </c:pt>
                <c:pt idx="2">
                  <c:v>卫生健康支出</c:v>
                </c:pt>
                <c:pt idx="3">
                  <c:v>住房保障支出</c:v>
                </c:pt>
              </c:strCache>
            </c:strRef>
          </c:cat>
          <c:val>
            <c:numRef>
              <c:f>Sheet1!$B$2:$B$5</c:f>
              <c:numCache>
                <c:formatCode>General</c:formatCode>
                <c:ptCount val="4"/>
                <c:pt idx="0">
                  <c:v>945.24</c:v>
                </c:pt>
                <c:pt idx="1">
                  <c:v>186.63</c:v>
                </c:pt>
                <c:pt idx="2">
                  <c:v>2.54</c:v>
                </c:pt>
                <c:pt idx="3">
                  <c:v>57.3</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barChart>
        <c:barDir val="col"/>
        <c:grouping val="clustered"/>
        <c:varyColors val="0"/>
        <c:ser>
          <c:idx val="0"/>
          <c:order val="0"/>
          <c:tx>
            <c:strRef>
              <c:f>Sheet1!$B$1</c:f>
              <c:strCache>
                <c:ptCount val="1"/>
                <c:pt idx="0">
                  <c:v>财政拨款</c:v>
                </c:pt>
              </c:strCache>
            </c:strRef>
          </c:tx>
          <c:spPr>
            <a:solidFill>
              <a:schemeClr val="accent1"/>
            </a:solidFill>
            <a:ln>
              <a:noFill/>
            </a:ln>
            <a:effectLst/>
          </c:spPr>
          <c:invertIfNegative val="0"/>
          <c:dLbls>
            <c:delete val="1"/>
          </c:dLbls>
          <c:cat>
            <c:strRef>
              <c:f>Sheet1!$A$2:$A$3</c:f>
              <c:strCache>
                <c:ptCount val="2"/>
                <c:pt idx="0">
                  <c:v>2023年</c:v>
                </c:pt>
                <c:pt idx="1">
                  <c:v>2024年</c:v>
                </c:pt>
              </c:strCache>
            </c:strRef>
          </c:cat>
          <c:val>
            <c:numRef>
              <c:f>Sheet1!$B$2:$B$3</c:f>
              <c:numCache>
                <c:formatCode>General</c:formatCode>
                <c:ptCount val="2"/>
                <c:pt idx="0">
                  <c:v>1174.11</c:v>
                </c:pt>
                <c:pt idx="1">
                  <c:v>1126.52</c:v>
                </c:pt>
              </c:numCache>
            </c:numRef>
          </c:val>
        </c:ser>
        <c:dLbls>
          <c:showLegendKey val="0"/>
          <c:showVal val="0"/>
          <c:showCatName val="0"/>
          <c:showSerName val="0"/>
          <c:showPercent val="0"/>
          <c:showBubbleSize val="0"/>
        </c:dLbls>
        <c:gapWidth val="219"/>
        <c:overlap val="-27"/>
        <c:axId val="394870436"/>
        <c:axId val="958780284"/>
      </c:barChart>
      <c:catAx>
        <c:axId val="39487043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8780284"/>
        <c:crosses val="autoZero"/>
        <c:auto val="1"/>
        <c:lblAlgn val="ctr"/>
        <c:lblOffset val="100"/>
        <c:noMultiLvlLbl val="0"/>
      </c:catAx>
      <c:valAx>
        <c:axId val="9587802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9487043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一般公共预算当年财政拨款支出预算</a:t>
            </a:r>
            <a:endParaRPr lang="zh-CN"/>
          </a:p>
        </c:rich>
      </c:tx>
      <c:layout/>
      <c:overlay val="0"/>
      <c:spPr>
        <a:noFill/>
        <a:ln>
          <a:noFill/>
        </a:ln>
        <a:effectLst/>
      </c:spPr>
    </c:title>
    <c:autoTitleDeleted val="0"/>
    <c:plotArea>
      <c:layout/>
      <c:pieChart>
        <c:varyColors val="1"/>
        <c:ser>
          <c:idx val="0"/>
          <c:order val="0"/>
          <c:tx>
            <c:strRef>
              <c:f>Sheet1!$B$1</c:f>
              <c:strCache>
                <c:ptCount val="1"/>
                <c:pt idx="0">
                  <c:v>财政拨款支出</c:v>
                </c:pt>
              </c:strCache>
            </c:strRef>
          </c:tx>
          <c:spPr/>
          <c:explosion val="1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0"/>
              <c:layout>
                <c:manualLayout>
                  <c:x val="0.106481481481481"/>
                  <c:y val="-0.035714285714285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416666666666667"/>
                  <c:y val="0.15476190476190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76335174953959"/>
                  <c:y val="0.035513995293175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Sheet1!$A$2:$A$4</c:f>
              <c:strCache>
                <c:ptCount val="3"/>
                <c:pt idx="0">
                  <c:v>文化旅游体育与传媒支出</c:v>
                </c:pt>
                <c:pt idx="1">
                  <c:v>社会保障和就业支出</c:v>
                </c:pt>
                <c:pt idx="2">
                  <c:v>住房保障支出</c:v>
                </c:pt>
              </c:strCache>
            </c:strRef>
          </c:cat>
          <c:val>
            <c:numRef>
              <c:f>Sheet1!$B$2:$B$4</c:f>
              <c:numCache>
                <c:formatCode>General</c:formatCode>
                <c:ptCount val="3"/>
                <c:pt idx="0">
                  <c:v>933.42</c:v>
                </c:pt>
                <c:pt idx="1">
                  <c:v>135.8</c:v>
                </c:pt>
                <c:pt idx="2">
                  <c:v>57.3</c:v>
                </c:pt>
              </c:numCache>
            </c:numRef>
          </c:val>
        </c:ser>
        <c:dLbls>
          <c:showLegendKey val="0"/>
          <c:showVal val="0"/>
          <c:showCatName val="0"/>
          <c:showSerName val="0"/>
          <c:showPercent val="1"/>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r>
              <a:rPr lang="zh-CN"/>
              <a:t>一般公共预算基本支出</a:t>
            </a:r>
            <a:endParaRPr lang="zh-CN"/>
          </a:p>
        </c:rich>
      </c:tx>
      <c:layout/>
      <c:overlay val="0"/>
      <c:spPr>
        <a:noFill/>
        <a:ln>
          <a:noFill/>
        </a:ln>
        <a:effectLst/>
      </c:spPr>
    </c:title>
    <c:autoTitleDeleted val="0"/>
    <c:plotArea>
      <c:layout/>
      <c:pieChart>
        <c:varyColors val="1"/>
        <c:ser>
          <c:idx val="0"/>
          <c:order val="0"/>
          <c:tx>
            <c:strRef>
              <c:f>Sheet1!$B$1</c:f>
              <c:strCache>
                <c:ptCount val="1"/>
                <c:pt idx="0">
                  <c:v>一般公共预算财政拨款基本支出决算</c:v>
                </c:pt>
              </c:strCache>
            </c:strRef>
          </c:tx>
          <c:spPr/>
          <c:explosion val="0"/>
          <c:dPt>
            <c:idx val="0"/>
            <c:bubble3D val="0"/>
            <c:explosion val="17"/>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833333333333334"/>
                  <c:y val="-0.0317460317460319"/>
                </c:manualLayout>
              </c:layout>
              <c:tx>
                <c:rich>
                  <a:bodyPr rot="0" spcFirstLastPara="1" vertOverflow="clip" vert="horz" wrap="square" lIns="38100" tIns="19050" rIns="38100" bIns="19050" anchor="ctr" anchorCtr="1"/>
                  <a:lstStyle/>
                  <a:p>
                    <a:pPr defTabSz="914400">
                      <a:defRPr lang="zh-CN" sz="900" b="0" i="0" u="none" strike="noStrike" kern="1200" baseline="0">
                        <a:solidFill>
                          <a:schemeClr val="dk1">
                            <a:lumMod val="65000"/>
                            <a:lumOff val="35000"/>
                          </a:schemeClr>
                        </a:solidFill>
                        <a:latin typeface="+mn-lt"/>
                        <a:ea typeface="+mn-ea"/>
                        <a:cs typeface="+mn-cs"/>
                      </a:defRPr>
                    </a:pPr>
                    <a:r>
                      <a:t>人员经费</a:t>
                    </a:r>
                  </a:p>
                  <a:p>
                    <a:pPr defTabSz="914400">
                      <a:defRPr lang="zh-CN" sz="900" b="0" i="0" u="none" strike="noStrike" kern="1200" baseline="0">
                        <a:solidFill>
                          <a:schemeClr val="dk1">
                            <a:lumMod val="65000"/>
                            <a:lumOff val="35000"/>
                          </a:schemeClr>
                        </a:solidFill>
                        <a:latin typeface="+mn-lt"/>
                        <a:ea typeface="+mn-ea"/>
                        <a:cs typeface="+mn-cs"/>
                      </a:defRPr>
                    </a:pPr>
                    <a:r>
                      <a:rPr lang="en-US" altLang="zh-CN"/>
                      <a:t>693.03</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5283063575386"/>
                  <c:y val="0.0119047619047619"/>
                </c:manualLayout>
              </c:layout>
              <c:tx>
                <c:rich>
                  <a:bodyPr rot="0" spcFirstLastPara="1" vertOverflow="clip" vert="horz" wrap="square" lIns="38100" tIns="19050" rIns="38100" bIns="19050" anchor="ctr" anchorCtr="1"/>
                  <a:lstStyle/>
                  <a:p>
                    <a:pPr defTabSz="914400">
                      <a:defRPr lang="zh-CN" sz="900" b="0" i="0" u="none" strike="noStrike" kern="1200" baseline="0">
                        <a:solidFill>
                          <a:schemeClr val="dk1">
                            <a:lumMod val="65000"/>
                            <a:lumOff val="35000"/>
                          </a:schemeClr>
                        </a:solidFill>
                        <a:latin typeface="+mn-lt"/>
                        <a:ea typeface="+mn-ea"/>
                        <a:cs typeface="+mn-cs"/>
                      </a:defRPr>
                    </a:pPr>
                    <a:r>
                      <a:t>日常公用经费</a:t>
                    </a:r>
                  </a:p>
                  <a:p>
                    <a:pPr defTabSz="914400">
                      <a:defRPr lang="zh-CN" sz="900" b="0" i="0" u="none" strike="noStrike" kern="1200" baseline="0">
                        <a:solidFill>
                          <a:schemeClr val="dk1">
                            <a:lumMod val="65000"/>
                            <a:lumOff val="35000"/>
                          </a:schemeClr>
                        </a:solidFill>
                        <a:latin typeface="+mn-lt"/>
                        <a:ea typeface="+mn-ea"/>
                        <a:cs typeface="+mn-cs"/>
                      </a:defRPr>
                    </a:pPr>
                    <a:r>
                      <a:rPr lang="en-US" altLang="zh-CN"/>
                      <a:t>178.49</a:t>
                    </a:r>
                    <a:endParaRPr lang="en-US" altLang="zh-CN"/>
                  </a:p>
                </c:rich>
              </c:tx>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numFmt formatCode="0.00%" sourceLinked="0"/>
            <c:spPr>
              <a:no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lang="zh-CN" sz="900" b="0" i="0" u="none" strike="noStrike" kern="1200" baseline="0">
                    <a:solidFill>
                      <a:schemeClr val="dk1">
                        <a:lumMod val="65000"/>
                        <a:lumOff val="35000"/>
                      </a:schemeClr>
                    </a:solidFill>
                    <a:latin typeface="+mn-lt"/>
                    <a:ea typeface="+mn-ea"/>
                    <a:cs typeface="+mn-cs"/>
                  </a:defRPr>
                </a:pPr>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15:layout/>
                <c15:showLeaderLines val="0"/>
                <c15:leaderLines>
                  <c:spPr>
                    <a:ln w="9525" cap="flat" cmpd="sng" algn="ctr">
                      <a:solidFill>
                        <a:schemeClr val="tx1">
                          <a:lumMod val="35000"/>
                          <a:lumOff val="65000"/>
                        </a:schemeClr>
                      </a:solidFill>
                      <a:round/>
                    </a:ln>
                    <a:effectLst/>
                  </c:spPr>
                </c15:leaderLines>
              </c:ext>
            </c:extLst>
          </c:dLbls>
          <c:cat>
            <c:strRef>
              <c:f>Sheet1!$A$2:$A$3</c:f>
              <c:strCache>
                <c:ptCount val="2"/>
                <c:pt idx="0">
                  <c:v>人员经费</c:v>
                </c:pt>
                <c:pt idx="1">
                  <c:v>日常公用经费</c:v>
                </c:pt>
              </c:strCache>
            </c:strRef>
          </c:cat>
          <c:val>
            <c:numRef>
              <c:f>Sheet1!$B$2:$B$3</c:f>
              <c:numCache>
                <c:formatCode>General</c:formatCode>
                <c:ptCount val="2"/>
                <c:pt idx="0">
                  <c:v>693.03</c:v>
                </c:pt>
                <c:pt idx="1">
                  <c:v>178.49</c:v>
                </c:pt>
              </c:numCache>
            </c:numRef>
          </c:val>
        </c:ser>
        <c:dLbls>
          <c:showLegendKey val="0"/>
          <c:showVal val="0"/>
          <c:showCatName val="0"/>
          <c:showSerName val="0"/>
          <c:showPercent val="0"/>
          <c:showBubbleSize val="0"/>
          <c:showLeaderLines val="0"/>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no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35</Pages>
  <Words>8517</Words>
  <Characters>9257</Characters>
  <Lines>112</Lines>
  <Paragraphs>31</Paragraphs>
  <TotalTime>25</TotalTime>
  <ScaleCrop>false</ScaleCrop>
  <LinksUpToDate>false</LinksUpToDate>
  <CharactersWithSpaces>9341</CharactersWithSpaces>
  <Application>WPS Office_11.8.2.1123_F1E327BC-269C-435d-A152-05C5408002CA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2021-08-18T16:35:00Z</dcterms:created>
  <dc:creator>Li-G</dc:creator>
  <cp:lastModifiedBy>zgsx</cp:lastModifiedBy>
  <cp:lastPrinted>2024-04-12T14:44:00Z</cp:lastPrinted>
  <dcterms:modified xsi:type="dcterms:W3CDTF">2024-04-25T14:37:19Z</dcterms:modified>
  <dc:title>中国文联部门预算</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2052-11.8.2.1123</vt:lpwstr>
  </property>
  <property fmtid="{D5CDD505-2E9C-101B-9397-08002B2CF9AE}" pid="3" name="ICV">
    <vt:lpwstr>71ED521D071D4E91AAAF29573DCDB87C_13</vt:lpwstr>
  </property>
</Properties>
</file>